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EA8" w:rsidRPr="00767EA8" w:rsidRDefault="00767EA8" w:rsidP="00767EA8">
      <w:pPr>
        <w:widowControl/>
        <w:ind w:firstLineChars="200" w:firstLine="883"/>
        <w:jc w:val="center"/>
        <w:rPr>
          <w:rFonts w:ascii="黑体" w:eastAsia="黑体" w:hAnsi="Arial" w:cs="Arial" w:hint="eastAsia"/>
          <w:b/>
          <w:kern w:val="0"/>
          <w:sz w:val="44"/>
          <w:szCs w:val="44"/>
        </w:rPr>
      </w:pPr>
      <w:r w:rsidRPr="00767EA8">
        <w:rPr>
          <w:rFonts w:ascii="黑体" w:eastAsia="黑体" w:hAnsi="Arial" w:cs="Arial" w:hint="eastAsia"/>
          <w:b/>
          <w:kern w:val="0"/>
          <w:sz w:val="44"/>
          <w:szCs w:val="44"/>
        </w:rPr>
        <w:t>上海期货交易所风险控制管理办法</w:t>
      </w:r>
    </w:p>
    <w:p w:rsidR="00767EA8" w:rsidRDefault="00767EA8" w:rsidP="00767EA8">
      <w:pPr>
        <w:widowControl/>
        <w:spacing w:line="560" w:lineRule="atLeast"/>
        <w:jc w:val="center"/>
        <w:rPr>
          <w:rFonts w:ascii="仿宋_GB2312" w:eastAsia="仿宋_GB2312" w:hAnsi="Arial" w:cs="Arial" w:hint="eastAsia"/>
          <w:b/>
          <w:bCs/>
          <w:kern w:val="0"/>
          <w:sz w:val="30"/>
          <w:szCs w:val="30"/>
        </w:rPr>
      </w:pPr>
    </w:p>
    <w:p w:rsidR="00767EA8" w:rsidRPr="00767EA8" w:rsidRDefault="00767EA8" w:rsidP="00767EA8">
      <w:pPr>
        <w:widowControl/>
        <w:spacing w:line="56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kern w:val="0"/>
          <w:sz w:val="30"/>
          <w:szCs w:val="30"/>
        </w:rPr>
        <w:t>第一章 总 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第一条 为加强期货交易风险管理，维护交易当事人的合法权益，保证上海期货交易所（以下简称交易所）期货交易的正常进行，根据《上海期货交易所交易规则》制定本办法。</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第二条 交易所风险管理实行保证金制度、涨跌停板制度、限仓制度、大户报告制度、强行平仓制度、风险警示制度。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第三条 交易所、会员和客户应当遵守本办法。</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6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kern w:val="0"/>
          <w:sz w:val="30"/>
          <w:szCs w:val="30"/>
        </w:rPr>
        <w:t>第二章 保证金制度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第四条 交易所实行交易保证金制度。黄金、白银、石油沥青、热轧卷板期货合约的最低交易保证金为合约价值的4%，阴极铜（以下简称铜）、铝、锌、铅、镍、锡、螺纹钢、天然橡胶期货合约的最低交易保证金为合约价值的5%，线材期货合约的最低交易保证金为合约价值的7%，燃料油期货合约的最低交易保证金为合约价值的8%。</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在某一期货合约的交易过程中，当出现下列情况时，交易所可以根据市场风险调整其交易保证金水平:</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（一）持仓量达到一定的水平时；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（二）临近交割期时；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（三）连续数个交易日的累计涨跌幅达到一定水平时；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（四）连续出现涨跌停板时；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（五）遇国家法定长假时；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（六）交易所认为市场风险明显增大时；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（七）交易所认为必要的其他情况。</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交易所根据市场情况决定调整交易保证金的，应当公告，并报告中国证监会。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第五条 交易所根据某一期货合约持仓的不同数量和上市运行的不同阶段（即：从该合约新上市挂牌之日起至最后交易日止）制定不同的交易保证金收取标准，本条另有特别规定的除外。</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热轧卷板不再根据合约持仓的不同数量制定不同的交易保证金收取标准。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具体规定如下：</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（一）交易所根据合约持仓大小调整交易保证金比例的方法。</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w:t>
      </w:r>
      <w:proofErr w:type="gramStart"/>
      <w:r w:rsidRPr="00767EA8">
        <w:rPr>
          <w:rFonts w:ascii="仿宋_GB2312" w:eastAsia="仿宋_GB2312" w:hAnsi="Arial" w:cs="Arial" w:hint="eastAsia"/>
          <w:b/>
          <w:bCs/>
          <w:color w:val="000000"/>
          <w:spacing w:val="8"/>
          <w:kern w:val="0"/>
          <w:sz w:val="30"/>
          <w:szCs w:val="30"/>
        </w:rPr>
        <w:t>一</w:t>
      </w:r>
      <w:proofErr w:type="gramEnd"/>
      <w:r w:rsidRPr="00767EA8">
        <w:rPr>
          <w:rFonts w:ascii="仿宋_GB2312" w:eastAsia="仿宋_GB2312" w:hAnsi="Arial" w:cs="Arial" w:hint="eastAsia"/>
          <w:b/>
          <w:bCs/>
          <w:color w:val="000000"/>
          <w:spacing w:val="8"/>
          <w:kern w:val="0"/>
          <w:sz w:val="30"/>
          <w:szCs w:val="30"/>
        </w:rPr>
        <w:t xml:space="preserve"> 铜期货合约持仓量变化时的交易保证金收取标准</w:t>
      </w:r>
    </w:p>
    <w:tbl>
      <w:tblPr>
        <w:tblW w:w="6945" w:type="dxa"/>
        <w:jc w:val="center"/>
        <w:tblCellMar>
          <w:left w:w="0" w:type="dxa"/>
          <w:right w:w="0" w:type="dxa"/>
        </w:tblCellMar>
        <w:tblLook w:val="04A0" w:firstRow="1" w:lastRow="0" w:firstColumn="1" w:lastColumn="0" w:noHBand="0" w:noVBand="1"/>
      </w:tblPr>
      <w:tblGrid>
        <w:gridCol w:w="4278"/>
        <w:gridCol w:w="2667"/>
      </w:tblGrid>
      <w:tr w:rsidR="00767EA8" w:rsidRPr="00767EA8" w:rsidTr="00767EA8">
        <w:trPr>
          <w:cantSplit/>
          <w:trHeight w:val="680"/>
          <w:jc w:val="center"/>
        </w:trPr>
        <w:tc>
          <w:tcPr>
            <w:tcW w:w="428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从进入交割月前第三月的第一个交易日起，当持仓总量（X）达到下列标准时</w:t>
            </w:r>
          </w:p>
        </w:tc>
        <w:tc>
          <w:tcPr>
            <w:tcW w:w="2669"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铜交易保证金比例</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X≤24万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24万＜X≤28万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6.5%</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28万＜X≤32万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X＞32万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lastRenderedPageBreak/>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 铝期货合约持仓量变化时的交易保证金收取标准</w:t>
      </w:r>
    </w:p>
    <w:tbl>
      <w:tblPr>
        <w:tblW w:w="6945" w:type="dxa"/>
        <w:jc w:val="center"/>
        <w:tblCellMar>
          <w:left w:w="0" w:type="dxa"/>
          <w:right w:w="0" w:type="dxa"/>
        </w:tblCellMar>
        <w:tblLook w:val="04A0" w:firstRow="1" w:lastRow="0" w:firstColumn="1" w:lastColumn="0" w:noHBand="0" w:noVBand="1"/>
      </w:tblPr>
      <w:tblGrid>
        <w:gridCol w:w="4278"/>
        <w:gridCol w:w="2667"/>
      </w:tblGrid>
      <w:tr w:rsidR="00767EA8" w:rsidRPr="00767EA8" w:rsidTr="00767EA8">
        <w:trPr>
          <w:cantSplit/>
          <w:trHeight w:val="680"/>
          <w:jc w:val="center"/>
        </w:trPr>
        <w:tc>
          <w:tcPr>
            <w:tcW w:w="428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从进入交割月前第三月的第一个交易日起，</w:t>
            </w:r>
          </w:p>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当持仓总量（X）达到下列标准时</w:t>
            </w:r>
          </w:p>
        </w:tc>
        <w:tc>
          <w:tcPr>
            <w:tcW w:w="2669"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铝交易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X≤24万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24万＜X≤28万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6.5%</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28万＜X≤32万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X＞32万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 </w:t>
      </w: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表三 锌期货合约持仓量变化时的交易保证金收取标准</w:t>
      </w:r>
    </w:p>
    <w:tbl>
      <w:tblPr>
        <w:tblW w:w="6945" w:type="dxa"/>
        <w:jc w:val="center"/>
        <w:tblCellMar>
          <w:left w:w="0" w:type="dxa"/>
          <w:right w:w="0" w:type="dxa"/>
        </w:tblCellMar>
        <w:tblLook w:val="04A0" w:firstRow="1" w:lastRow="0" w:firstColumn="1" w:lastColumn="0" w:noHBand="0" w:noVBand="1"/>
      </w:tblPr>
      <w:tblGrid>
        <w:gridCol w:w="4278"/>
        <w:gridCol w:w="2667"/>
      </w:tblGrid>
      <w:tr w:rsidR="00767EA8" w:rsidRPr="00767EA8" w:rsidTr="00767EA8">
        <w:trPr>
          <w:cantSplit/>
          <w:trHeight w:val="680"/>
          <w:jc w:val="center"/>
        </w:trPr>
        <w:tc>
          <w:tcPr>
            <w:tcW w:w="428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从进入交割月前第三月的第一个交易日起，</w:t>
            </w:r>
          </w:p>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当持仓总量（X）达到下列标准时</w:t>
            </w:r>
          </w:p>
        </w:tc>
        <w:tc>
          <w:tcPr>
            <w:tcW w:w="2669"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锌</w:t>
            </w:r>
            <w:proofErr w:type="gramEnd"/>
            <w:r w:rsidRPr="00767EA8">
              <w:rPr>
                <w:rFonts w:ascii="仿宋_GB2312" w:eastAsia="仿宋_GB2312" w:hAnsi="Arial" w:cs="Arial" w:hint="eastAsia"/>
                <w:color w:val="000000"/>
                <w:kern w:val="0"/>
                <w:sz w:val="30"/>
                <w:szCs w:val="30"/>
              </w:rPr>
              <w:t>交易保证金比例</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X≤24万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24万＜X≤28万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6.5%</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28万＜X≤32万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X＞32万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lastRenderedPageBreak/>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表四 铅期货合约持仓量变化时的交易保证金收取标准</w:t>
      </w:r>
    </w:p>
    <w:tbl>
      <w:tblPr>
        <w:tblW w:w="6885" w:type="dxa"/>
        <w:jc w:val="center"/>
        <w:tblCellMar>
          <w:left w:w="0" w:type="dxa"/>
          <w:right w:w="0" w:type="dxa"/>
        </w:tblCellMar>
        <w:tblLook w:val="04A0" w:firstRow="1" w:lastRow="0" w:firstColumn="1" w:lastColumn="0" w:noHBand="0" w:noVBand="1"/>
      </w:tblPr>
      <w:tblGrid>
        <w:gridCol w:w="4102"/>
        <w:gridCol w:w="2783"/>
      </w:tblGrid>
      <w:tr w:rsidR="00767EA8" w:rsidRPr="00767EA8" w:rsidTr="00767EA8">
        <w:trPr>
          <w:cantSplit/>
          <w:trHeight w:val="717"/>
          <w:jc w:val="center"/>
        </w:trPr>
        <w:tc>
          <w:tcPr>
            <w:tcW w:w="410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bookmarkStart w:id="0" w:name="OLE_LINK361"/>
            <w:r w:rsidRPr="00767EA8">
              <w:rPr>
                <w:rFonts w:ascii="仿宋_GB2312" w:eastAsia="仿宋_GB2312" w:hAnsi="Arial" w:cs="Arial" w:hint="eastAsia"/>
                <w:color w:val="333333"/>
                <w:kern w:val="0"/>
                <w:sz w:val="30"/>
                <w:szCs w:val="30"/>
              </w:rPr>
              <w:t>从进入交割月前第三月的第一个交易日起，当持仓总量（X）达到下列标准时</w:t>
            </w:r>
            <w:bookmarkEnd w:id="0"/>
          </w:p>
        </w:tc>
        <w:tc>
          <w:tcPr>
            <w:tcW w:w="2785"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铅交易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X≤20万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20万＜X≤30万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X＞30万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12%</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表五 镍期货合约持仓量变化时的交易保证金收取标准</w:t>
      </w:r>
    </w:p>
    <w:tbl>
      <w:tblPr>
        <w:tblW w:w="6885" w:type="dxa"/>
        <w:jc w:val="center"/>
        <w:shd w:val="clear" w:color="auto" w:fill="FFFFFF"/>
        <w:tblCellMar>
          <w:left w:w="0" w:type="dxa"/>
          <w:right w:w="0" w:type="dxa"/>
        </w:tblCellMar>
        <w:tblLook w:val="04A0" w:firstRow="1" w:lastRow="0" w:firstColumn="1" w:lastColumn="0" w:noHBand="0" w:noVBand="1"/>
      </w:tblPr>
      <w:tblGrid>
        <w:gridCol w:w="4102"/>
        <w:gridCol w:w="2783"/>
      </w:tblGrid>
      <w:tr w:rsidR="00767EA8" w:rsidRPr="00767EA8" w:rsidTr="00767EA8">
        <w:trPr>
          <w:cantSplit/>
          <w:trHeight w:val="717"/>
          <w:jc w:val="center"/>
        </w:trPr>
        <w:tc>
          <w:tcPr>
            <w:tcW w:w="410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从进入交割月前第三月的第一个交易日起，当持仓总量（X）达到下列标准时</w:t>
            </w:r>
          </w:p>
        </w:tc>
        <w:tc>
          <w:tcPr>
            <w:tcW w:w="2785"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镍交易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X≤24万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24万＜X≤36万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X＞36万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表六 锡期货合约持仓量变化时的交易保证金收取标准</w:t>
      </w:r>
    </w:p>
    <w:tbl>
      <w:tblPr>
        <w:tblW w:w="6885" w:type="dxa"/>
        <w:jc w:val="center"/>
        <w:shd w:val="clear" w:color="auto" w:fill="FFFFFF"/>
        <w:tblCellMar>
          <w:left w:w="0" w:type="dxa"/>
          <w:right w:w="0" w:type="dxa"/>
        </w:tblCellMar>
        <w:tblLook w:val="04A0" w:firstRow="1" w:lastRow="0" w:firstColumn="1" w:lastColumn="0" w:noHBand="0" w:noVBand="1"/>
      </w:tblPr>
      <w:tblGrid>
        <w:gridCol w:w="4102"/>
        <w:gridCol w:w="2783"/>
      </w:tblGrid>
      <w:tr w:rsidR="00767EA8" w:rsidRPr="00767EA8" w:rsidTr="00767EA8">
        <w:trPr>
          <w:cantSplit/>
          <w:trHeight w:val="717"/>
          <w:jc w:val="center"/>
        </w:trPr>
        <w:tc>
          <w:tcPr>
            <w:tcW w:w="410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从进入交割月前第三月的第一个交易日起，当持仓总量（X）达到下列标准时</w:t>
            </w:r>
          </w:p>
        </w:tc>
        <w:tc>
          <w:tcPr>
            <w:tcW w:w="2785"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锡交易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X≤6万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6万＜X≤9万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106"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X＞9万</w:t>
            </w:r>
          </w:p>
        </w:tc>
        <w:tc>
          <w:tcPr>
            <w:tcW w:w="278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360" w:lineRule="auto"/>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表七 螺纹钢期货合约持仓量变化时的交易保证金收取标准</w:t>
      </w:r>
    </w:p>
    <w:tbl>
      <w:tblPr>
        <w:tblW w:w="6870" w:type="dxa"/>
        <w:jc w:val="center"/>
        <w:shd w:val="clear" w:color="auto" w:fill="FFFFFF"/>
        <w:tblCellMar>
          <w:left w:w="0" w:type="dxa"/>
          <w:right w:w="0" w:type="dxa"/>
        </w:tblCellMar>
        <w:tblLook w:val="04A0" w:firstRow="1" w:lastRow="0" w:firstColumn="1" w:lastColumn="0" w:noHBand="0" w:noVBand="1"/>
      </w:tblPr>
      <w:tblGrid>
        <w:gridCol w:w="4204"/>
        <w:gridCol w:w="2666"/>
      </w:tblGrid>
      <w:tr w:rsidR="00767EA8" w:rsidRPr="00767EA8" w:rsidTr="00767EA8">
        <w:trPr>
          <w:cantSplit/>
          <w:trHeight w:val="680"/>
          <w:jc w:val="center"/>
        </w:trPr>
        <w:tc>
          <w:tcPr>
            <w:tcW w:w="420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从进入交割月前第三月的第一个交易日起，当持仓总量（X）达到下列标准时</w:t>
            </w:r>
          </w:p>
        </w:tc>
        <w:tc>
          <w:tcPr>
            <w:tcW w:w="2669" w:type="dxa"/>
            <w:tcBorders>
              <w:top w:val="single" w:sz="8" w:space="0" w:color="auto"/>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螺纹钢交易保证金比例</w:t>
            </w:r>
          </w:p>
        </w:tc>
      </w:tr>
      <w:tr w:rsidR="00767EA8" w:rsidRPr="00767EA8" w:rsidTr="00767EA8">
        <w:trPr>
          <w:trHeight w:val="369"/>
          <w:jc w:val="center"/>
        </w:trPr>
        <w:tc>
          <w:tcPr>
            <w:tcW w:w="420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X≤120万</w:t>
            </w:r>
          </w:p>
        </w:tc>
        <w:tc>
          <w:tcPr>
            <w:tcW w:w="2669"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20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120万＜X≤135万</w:t>
            </w:r>
          </w:p>
        </w:tc>
        <w:tc>
          <w:tcPr>
            <w:tcW w:w="2669"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7%</w:t>
            </w:r>
          </w:p>
        </w:tc>
      </w:tr>
      <w:tr w:rsidR="00767EA8" w:rsidRPr="00767EA8" w:rsidTr="00767EA8">
        <w:trPr>
          <w:trHeight w:val="369"/>
          <w:jc w:val="center"/>
        </w:trPr>
        <w:tc>
          <w:tcPr>
            <w:tcW w:w="420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135万＜X≤150万</w:t>
            </w:r>
          </w:p>
        </w:tc>
        <w:tc>
          <w:tcPr>
            <w:tcW w:w="2669"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9%</w:t>
            </w:r>
          </w:p>
        </w:tc>
      </w:tr>
      <w:tr w:rsidR="00767EA8" w:rsidRPr="00767EA8" w:rsidTr="00767EA8">
        <w:trPr>
          <w:trHeight w:val="369"/>
          <w:jc w:val="center"/>
        </w:trPr>
        <w:tc>
          <w:tcPr>
            <w:tcW w:w="420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 xml:space="preserve">X＞150万 </w:t>
            </w:r>
          </w:p>
        </w:tc>
        <w:tc>
          <w:tcPr>
            <w:tcW w:w="2669"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11%</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表八</w:t>
      </w:r>
      <w:r w:rsidRPr="00767EA8">
        <w:rPr>
          <w:rFonts w:ascii="仿宋_GB2312" w:eastAsia="仿宋_GB2312" w:hAnsi="Arial" w:cs="Arial" w:hint="eastAsia"/>
          <w:b/>
          <w:bCs/>
          <w:color w:val="000000"/>
          <w:spacing w:val="8"/>
          <w:kern w:val="0"/>
          <w:sz w:val="30"/>
          <w:szCs w:val="30"/>
        </w:rPr>
        <w:t> </w:t>
      </w:r>
      <w:r w:rsidRPr="00767EA8">
        <w:rPr>
          <w:rFonts w:ascii="仿宋_GB2312" w:eastAsia="仿宋_GB2312" w:hAnsi="Arial" w:cs="Arial" w:hint="eastAsia"/>
          <w:b/>
          <w:bCs/>
          <w:color w:val="000000"/>
          <w:spacing w:val="8"/>
          <w:kern w:val="0"/>
          <w:sz w:val="30"/>
          <w:szCs w:val="30"/>
        </w:rPr>
        <w:t>线材期货合约持仓量变化时的交易保证金收取标准</w:t>
      </w:r>
    </w:p>
    <w:tbl>
      <w:tblPr>
        <w:tblW w:w="6945" w:type="dxa"/>
        <w:jc w:val="center"/>
        <w:tblCellMar>
          <w:left w:w="0" w:type="dxa"/>
          <w:right w:w="0" w:type="dxa"/>
        </w:tblCellMar>
        <w:tblLook w:val="04A0" w:firstRow="1" w:lastRow="0" w:firstColumn="1" w:lastColumn="0" w:noHBand="0" w:noVBand="1"/>
      </w:tblPr>
      <w:tblGrid>
        <w:gridCol w:w="4278"/>
        <w:gridCol w:w="2667"/>
      </w:tblGrid>
      <w:tr w:rsidR="00767EA8" w:rsidRPr="00767EA8" w:rsidTr="00767EA8">
        <w:trPr>
          <w:cantSplit/>
          <w:trHeight w:val="680"/>
          <w:jc w:val="center"/>
        </w:trPr>
        <w:tc>
          <w:tcPr>
            <w:tcW w:w="428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从进入交割月前第三月的第一个交易日起，</w:t>
            </w:r>
          </w:p>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当持仓总量（X）达到下列标准时</w:t>
            </w:r>
          </w:p>
        </w:tc>
        <w:tc>
          <w:tcPr>
            <w:tcW w:w="2669"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线材交易保证金比例</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X≤45万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7%</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45万＜X≤60万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60万＜X≤75万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trHeight w:val="369"/>
          <w:jc w:val="center"/>
        </w:trPr>
        <w:tc>
          <w:tcPr>
            <w:tcW w:w="4282"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X＞75万</w:t>
            </w:r>
          </w:p>
        </w:tc>
        <w:tc>
          <w:tcPr>
            <w:tcW w:w="266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12%</w:t>
            </w:r>
          </w:p>
        </w:tc>
      </w:tr>
    </w:tbl>
    <w:p w:rsidR="00767EA8" w:rsidRPr="00767EA8" w:rsidRDefault="00767EA8" w:rsidP="00767EA8">
      <w:pPr>
        <w:widowControl/>
        <w:ind w:firstLine="1125"/>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表九 黄金期货合约持仓量变化时的交易保证金收取标准</w:t>
      </w:r>
    </w:p>
    <w:tbl>
      <w:tblPr>
        <w:tblW w:w="0" w:type="auto"/>
        <w:jc w:val="center"/>
        <w:tblCellMar>
          <w:left w:w="0" w:type="dxa"/>
          <w:right w:w="0" w:type="dxa"/>
        </w:tblCellMar>
        <w:tblLook w:val="04A0" w:firstRow="1" w:lastRow="0" w:firstColumn="1" w:lastColumn="0" w:noHBand="0" w:noVBand="1"/>
      </w:tblPr>
      <w:tblGrid>
        <w:gridCol w:w="4252"/>
        <w:gridCol w:w="2717"/>
      </w:tblGrid>
      <w:tr w:rsidR="00767EA8" w:rsidRPr="00767EA8" w:rsidTr="00767EA8">
        <w:trPr>
          <w:cantSplit/>
          <w:trHeight w:val="680"/>
          <w:jc w:val="center"/>
        </w:trPr>
        <w:tc>
          <w:tcPr>
            <w:tcW w:w="425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从进入交割月前第三月的第一个交易日起，当持仓总量（X）达到下列标准时</w:t>
            </w:r>
          </w:p>
        </w:tc>
        <w:tc>
          <w:tcPr>
            <w:tcW w:w="2717" w:type="dxa"/>
            <w:tcBorders>
              <w:top w:val="single" w:sz="8" w:space="0" w:color="auto"/>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黄金交易保证金比例</w:t>
            </w:r>
          </w:p>
        </w:tc>
      </w:tr>
      <w:tr w:rsidR="00767EA8" w:rsidRPr="00767EA8" w:rsidTr="00767EA8">
        <w:trPr>
          <w:trHeight w:val="369"/>
          <w:jc w:val="center"/>
        </w:trPr>
        <w:tc>
          <w:tcPr>
            <w:tcW w:w="4252"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X≤36万</w:t>
            </w:r>
          </w:p>
        </w:tc>
        <w:tc>
          <w:tcPr>
            <w:tcW w:w="2717"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w:t>
            </w:r>
          </w:p>
        </w:tc>
      </w:tr>
      <w:tr w:rsidR="00767EA8" w:rsidRPr="00767EA8" w:rsidTr="00767EA8">
        <w:trPr>
          <w:trHeight w:val="369"/>
          <w:jc w:val="center"/>
        </w:trPr>
        <w:tc>
          <w:tcPr>
            <w:tcW w:w="4252"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36万＜X≤48万</w:t>
            </w:r>
          </w:p>
        </w:tc>
        <w:tc>
          <w:tcPr>
            <w:tcW w:w="2717"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7%</w:t>
            </w:r>
          </w:p>
        </w:tc>
      </w:tr>
      <w:tr w:rsidR="00767EA8" w:rsidRPr="00767EA8" w:rsidTr="00767EA8">
        <w:trPr>
          <w:trHeight w:val="369"/>
          <w:jc w:val="center"/>
        </w:trPr>
        <w:tc>
          <w:tcPr>
            <w:tcW w:w="4252"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X＞48万</w:t>
            </w:r>
          </w:p>
        </w:tc>
        <w:tc>
          <w:tcPr>
            <w:tcW w:w="2717"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ind w:firstLine="1125"/>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ind w:firstLine="1125"/>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 白银期货合约持仓量变化时的交易保证金收取标准</w:t>
      </w:r>
    </w:p>
    <w:tbl>
      <w:tblPr>
        <w:tblW w:w="0" w:type="auto"/>
        <w:jc w:val="center"/>
        <w:tblCellMar>
          <w:left w:w="0" w:type="dxa"/>
          <w:right w:w="0" w:type="dxa"/>
        </w:tblCellMar>
        <w:tblLook w:val="04A0" w:firstRow="1" w:lastRow="0" w:firstColumn="1" w:lastColumn="0" w:noHBand="0" w:noVBand="1"/>
      </w:tblPr>
      <w:tblGrid>
        <w:gridCol w:w="3818"/>
        <w:gridCol w:w="3314"/>
      </w:tblGrid>
      <w:tr w:rsidR="00767EA8" w:rsidRPr="00767EA8" w:rsidTr="00767EA8">
        <w:trPr>
          <w:trHeight w:val="832"/>
          <w:jc w:val="center"/>
        </w:trPr>
        <w:tc>
          <w:tcPr>
            <w:tcW w:w="381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从进入交割月前第三月的第</w:t>
            </w:r>
            <w:r w:rsidRPr="00767EA8">
              <w:rPr>
                <w:rFonts w:ascii="仿宋_GB2312" w:eastAsia="仿宋_GB2312" w:hAnsi="Arial" w:cs="Arial" w:hint="eastAsia"/>
                <w:color w:val="000000"/>
                <w:kern w:val="0"/>
                <w:sz w:val="30"/>
                <w:szCs w:val="30"/>
              </w:rPr>
              <w:lastRenderedPageBreak/>
              <w:t>一个交易日起，当持仓总量（X）达到下列标准时</w:t>
            </w:r>
          </w:p>
        </w:tc>
        <w:tc>
          <w:tcPr>
            <w:tcW w:w="3314" w:type="dxa"/>
            <w:tcBorders>
              <w:top w:val="single" w:sz="8" w:space="0" w:color="auto"/>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白银交易保证金比例</w:t>
            </w:r>
          </w:p>
        </w:tc>
      </w:tr>
      <w:tr w:rsidR="00767EA8" w:rsidRPr="00767EA8" w:rsidTr="00767EA8">
        <w:trPr>
          <w:trHeight w:val="405"/>
          <w:jc w:val="center"/>
        </w:trPr>
        <w:tc>
          <w:tcPr>
            <w:tcW w:w="381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X≤30万</w:t>
            </w:r>
          </w:p>
        </w:tc>
        <w:tc>
          <w:tcPr>
            <w:tcW w:w="3314"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4%</w:t>
            </w:r>
          </w:p>
        </w:tc>
      </w:tr>
      <w:tr w:rsidR="00767EA8" w:rsidRPr="00767EA8" w:rsidTr="00767EA8">
        <w:trPr>
          <w:trHeight w:val="405"/>
          <w:jc w:val="center"/>
        </w:trPr>
        <w:tc>
          <w:tcPr>
            <w:tcW w:w="381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30万＜X≤60万</w:t>
            </w:r>
          </w:p>
        </w:tc>
        <w:tc>
          <w:tcPr>
            <w:tcW w:w="3314"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7%</w:t>
            </w:r>
          </w:p>
        </w:tc>
      </w:tr>
      <w:tr w:rsidR="00767EA8" w:rsidRPr="00767EA8" w:rsidTr="00767EA8">
        <w:trPr>
          <w:trHeight w:val="405"/>
          <w:jc w:val="center"/>
        </w:trPr>
        <w:tc>
          <w:tcPr>
            <w:tcW w:w="3818"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X＞60万</w:t>
            </w:r>
          </w:p>
        </w:tc>
        <w:tc>
          <w:tcPr>
            <w:tcW w:w="3314"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bl>
    <w:p w:rsidR="00767EA8" w:rsidRPr="00767EA8" w:rsidRDefault="00767EA8" w:rsidP="00767EA8">
      <w:pPr>
        <w:widowControl/>
        <w:ind w:firstLine="1125"/>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表十一 天然橡胶期货合约持仓量变化时的交易保证金收取标准</w:t>
      </w:r>
    </w:p>
    <w:tbl>
      <w:tblPr>
        <w:tblW w:w="6945" w:type="dxa"/>
        <w:jc w:val="center"/>
        <w:tblCellMar>
          <w:left w:w="0" w:type="dxa"/>
          <w:right w:w="0" w:type="dxa"/>
        </w:tblCellMar>
        <w:tblLook w:val="04A0" w:firstRow="1" w:lastRow="0" w:firstColumn="1" w:lastColumn="0" w:noHBand="0" w:noVBand="1"/>
      </w:tblPr>
      <w:tblGrid>
        <w:gridCol w:w="4246"/>
        <w:gridCol w:w="2699"/>
      </w:tblGrid>
      <w:tr w:rsidR="00767EA8" w:rsidRPr="00767EA8" w:rsidTr="00767EA8">
        <w:trPr>
          <w:cantSplit/>
          <w:trHeight w:val="680"/>
          <w:jc w:val="center"/>
        </w:trPr>
        <w:tc>
          <w:tcPr>
            <w:tcW w:w="42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从合约新上市挂牌之日起，</w:t>
            </w:r>
          </w:p>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当持仓总量（X）达到下列标准时</w:t>
            </w:r>
          </w:p>
        </w:tc>
        <w:tc>
          <w:tcPr>
            <w:tcW w:w="270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天然橡胶交易保证金比例</w:t>
            </w:r>
          </w:p>
        </w:tc>
      </w:tr>
      <w:tr w:rsidR="00767EA8" w:rsidRPr="00767EA8" w:rsidTr="00767EA8">
        <w:trPr>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X≤8万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8万＜X≤12万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12万＜X≤16万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X＞16万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12%</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表十二</w:t>
      </w:r>
      <w:r w:rsidRPr="00767EA8">
        <w:rPr>
          <w:rFonts w:ascii="仿宋_GB2312" w:eastAsia="仿宋_GB2312" w:hAnsi="Arial" w:cs="Arial" w:hint="eastAsia"/>
          <w:b/>
          <w:bCs/>
          <w:color w:val="000000"/>
          <w:spacing w:val="8"/>
          <w:kern w:val="0"/>
          <w:sz w:val="30"/>
          <w:szCs w:val="30"/>
        </w:rPr>
        <w:t> </w:t>
      </w:r>
      <w:r w:rsidRPr="00767EA8">
        <w:rPr>
          <w:rFonts w:ascii="仿宋_GB2312" w:eastAsia="仿宋_GB2312" w:hAnsi="Arial" w:cs="Arial" w:hint="eastAsia"/>
          <w:b/>
          <w:bCs/>
          <w:color w:val="000000"/>
          <w:spacing w:val="8"/>
          <w:kern w:val="0"/>
          <w:sz w:val="30"/>
          <w:szCs w:val="30"/>
        </w:rPr>
        <w:t>燃料油期货合约持仓量变化时的交易保证金收取标准</w:t>
      </w:r>
    </w:p>
    <w:tbl>
      <w:tblPr>
        <w:tblW w:w="6945" w:type="dxa"/>
        <w:jc w:val="center"/>
        <w:tblCellMar>
          <w:left w:w="0" w:type="dxa"/>
          <w:right w:w="0" w:type="dxa"/>
        </w:tblCellMar>
        <w:tblLook w:val="04A0" w:firstRow="1" w:lastRow="0" w:firstColumn="1" w:lastColumn="0" w:noHBand="0" w:noVBand="1"/>
      </w:tblPr>
      <w:tblGrid>
        <w:gridCol w:w="4246"/>
        <w:gridCol w:w="2699"/>
      </w:tblGrid>
      <w:tr w:rsidR="00767EA8" w:rsidRPr="00767EA8" w:rsidTr="00767EA8">
        <w:trPr>
          <w:cantSplit/>
          <w:trHeight w:val="680"/>
          <w:jc w:val="center"/>
        </w:trPr>
        <w:tc>
          <w:tcPr>
            <w:tcW w:w="42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从合约新上市挂牌之日起，</w:t>
            </w:r>
          </w:p>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当持仓总量（X）达到下列标准时</w:t>
            </w:r>
          </w:p>
        </w:tc>
        <w:tc>
          <w:tcPr>
            <w:tcW w:w="270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燃料油交易保证金比例</w:t>
            </w:r>
          </w:p>
        </w:tc>
      </w:tr>
      <w:tr w:rsidR="00767EA8" w:rsidRPr="00767EA8" w:rsidTr="00767EA8">
        <w:trPr>
          <w:cantSplit/>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X≤10万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cantSplit/>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10万＜X≤15万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15万＜X≤20万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12%</w:t>
            </w:r>
          </w:p>
        </w:tc>
      </w:tr>
      <w:tr w:rsidR="00767EA8" w:rsidRPr="00767EA8" w:rsidTr="00767EA8">
        <w:trPr>
          <w:cantSplit/>
          <w:trHeight w:val="369"/>
          <w:jc w:val="center"/>
        </w:trPr>
        <w:tc>
          <w:tcPr>
            <w:tcW w:w="4248"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X＞20万</w:t>
            </w:r>
          </w:p>
        </w:tc>
        <w:tc>
          <w:tcPr>
            <w:tcW w:w="270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表十三</w:t>
      </w:r>
      <w:r w:rsidRPr="00767EA8">
        <w:rPr>
          <w:rFonts w:ascii="仿宋_GB2312" w:eastAsia="仿宋_GB2312" w:hAnsi="Arial" w:cs="Arial" w:hint="eastAsia"/>
          <w:b/>
          <w:bCs/>
          <w:color w:val="000000"/>
          <w:spacing w:val="8"/>
          <w:kern w:val="0"/>
          <w:sz w:val="30"/>
          <w:szCs w:val="30"/>
        </w:rPr>
        <w:t> </w:t>
      </w:r>
      <w:r w:rsidRPr="00767EA8">
        <w:rPr>
          <w:rFonts w:ascii="仿宋_GB2312" w:eastAsia="仿宋_GB2312" w:hAnsi="Arial" w:cs="Arial" w:hint="eastAsia"/>
          <w:b/>
          <w:bCs/>
          <w:color w:val="000000"/>
          <w:spacing w:val="8"/>
          <w:kern w:val="0"/>
          <w:sz w:val="30"/>
          <w:szCs w:val="30"/>
        </w:rPr>
        <w:t>石油沥青期货合约持仓量变化时的交易保证金收取标准</w:t>
      </w:r>
    </w:p>
    <w:tbl>
      <w:tblPr>
        <w:tblW w:w="0" w:type="auto"/>
        <w:jc w:val="center"/>
        <w:tblCellMar>
          <w:left w:w="0" w:type="dxa"/>
          <w:right w:w="0" w:type="dxa"/>
        </w:tblCellMar>
        <w:tblLook w:val="04A0" w:firstRow="1" w:lastRow="0" w:firstColumn="1" w:lastColumn="0" w:noHBand="0" w:noVBand="1"/>
      </w:tblPr>
      <w:tblGrid>
        <w:gridCol w:w="4111"/>
        <w:gridCol w:w="2835"/>
      </w:tblGrid>
      <w:tr w:rsidR="00767EA8" w:rsidRPr="00767EA8" w:rsidTr="00767EA8">
        <w:trPr>
          <w:trHeight w:val="832"/>
          <w:jc w:val="center"/>
        </w:trPr>
        <w:tc>
          <w:tcPr>
            <w:tcW w:w="411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从合约新上市挂牌之日起，</w:t>
            </w:r>
          </w:p>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当持仓总量（X）达到下列标准时</w:t>
            </w:r>
          </w:p>
        </w:tc>
        <w:tc>
          <w:tcPr>
            <w:tcW w:w="2835"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石油沥青交易保证金比例</w:t>
            </w:r>
          </w:p>
        </w:tc>
      </w:tr>
      <w:tr w:rsidR="00767EA8" w:rsidRPr="00767EA8" w:rsidTr="00767EA8">
        <w:trPr>
          <w:trHeight w:val="405"/>
          <w:jc w:val="center"/>
        </w:trPr>
        <w:tc>
          <w:tcPr>
            <w:tcW w:w="4111"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X≤30万</w:t>
            </w:r>
          </w:p>
        </w:tc>
        <w:tc>
          <w:tcPr>
            <w:tcW w:w="283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w:t>
            </w:r>
          </w:p>
        </w:tc>
      </w:tr>
      <w:tr w:rsidR="00767EA8" w:rsidRPr="00767EA8" w:rsidTr="00767EA8">
        <w:trPr>
          <w:trHeight w:val="405"/>
          <w:jc w:val="center"/>
        </w:trPr>
        <w:tc>
          <w:tcPr>
            <w:tcW w:w="4111"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30万＜X≤50万</w:t>
            </w:r>
          </w:p>
        </w:tc>
        <w:tc>
          <w:tcPr>
            <w:tcW w:w="283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6%</w:t>
            </w:r>
          </w:p>
        </w:tc>
      </w:tr>
      <w:tr w:rsidR="00767EA8" w:rsidRPr="00767EA8" w:rsidTr="00767EA8">
        <w:trPr>
          <w:trHeight w:val="405"/>
          <w:jc w:val="center"/>
        </w:trPr>
        <w:tc>
          <w:tcPr>
            <w:tcW w:w="4111"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X＞50万</w:t>
            </w:r>
          </w:p>
        </w:tc>
        <w:tc>
          <w:tcPr>
            <w:tcW w:w="2835"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bl>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spacing w:val="8"/>
          <w:kern w:val="0"/>
          <w:sz w:val="30"/>
          <w:szCs w:val="30"/>
        </w:rPr>
        <w:t>注：X表示某一月份合约的双边持仓总量，单位：手。</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交易过程中，当某一期货合约持仓量达到某一级持仓总量时（详见表一、二、三、四、五、六、七、八、九、十、十一、十二、十三），暂不调整交易保证金收取标准。当日结算时，若某</w:t>
      </w:r>
      <w:r w:rsidRPr="00767EA8">
        <w:rPr>
          <w:rFonts w:ascii="仿宋_GB2312" w:eastAsia="仿宋_GB2312" w:hAnsi="Arial" w:cs="Arial" w:hint="eastAsia"/>
          <w:color w:val="000000"/>
          <w:kern w:val="0"/>
          <w:sz w:val="30"/>
          <w:szCs w:val="30"/>
        </w:rPr>
        <w:lastRenderedPageBreak/>
        <w:t>一期货合约持仓量达到某一级持仓总量，则交易所对该合约全部持仓收取与持仓总量相对应的交易保证金，保证金不足的，应当在下一个交易日开市前追加到位。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（二）交易所根据期货合约上市运行的不同阶段（临近交割期）调整交易保证金的方法。</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表十四 铜期货合约上市运行不同阶段的交易保证金收取标准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铜交易保证金比例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spacing w:line="24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表十五 铝期货合约上市运行不同阶段的交易保证金收取标准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铝交易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表十六 锌期货合约上市运行不同阶段的交易保证金收取标准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锌</w:t>
            </w:r>
            <w:proofErr w:type="gramEnd"/>
            <w:r w:rsidRPr="00767EA8">
              <w:rPr>
                <w:rFonts w:ascii="仿宋_GB2312" w:eastAsia="仿宋_GB2312" w:hAnsi="Arial" w:cs="Arial" w:hint="eastAsia"/>
                <w:color w:val="000000"/>
                <w:kern w:val="0"/>
                <w:sz w:val="30"/>
                <w:szCs w:val="30"/>
              </w:rPr>
              <w:t>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表十七 铅期货合约上市运行不同阶段的交易保证金收取标准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566"/>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铅交易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dstrike/>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表十八 镍期货合约上市运行不同阶段的交易保证金收取标准</w:t>
      </w:r>
    </w:p>
    <w:tbl>
      <w:tblPr>
        <w:tblW w:w="8100" w:type="dxa"/>
        <w:jc w:val="center"/>
        <w:shd w:val="clear" w:color="auto" w:fill="FFFFFF"/>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566"/>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镍交易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dstrike/>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表十九 锡期货合约上市运行不同阶段的交易保证金收取标准</w:t>
      </w:r>
    </w:p>
    <w:tbl>
      <w:tblPr>
        <w:tblW w:w="8100" w:type="dxa"/>
        <w:jc w:val="center"/>
        <w:shd w:val="clear" w:color="auto" w:fill="FFFFFF"/>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566"/>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proofErr w:type="gramStart"/>
            <w:r w:rsidRPr="00767EA8">
              <w:rPr>
                <w:rFonts w:ascii="仿宋_GB2312" w:eastAsia="仿宋_GB2312" w:hAnsi="Arial" w:cs="Arial" w:hint="eastAsia"/>
                <w:color w:val="000000"/>
                <w:kern w:val="0"/>
                <w:sz w:val="30"/>
                <w:szCs w:val="30"/>
              </w:rPr>
              <w:t>锡交易</w:t>
            </w:r>
            <w:proofErr w:type="gramEnd"/>
            <w:r w:rsidRPr="00767EA8">
              <w:rPr>
                <w:rFonts w:ascii="仿宋_GB2312" w:eastAsia="仿宋_GB2312" w:hAnsi="Arial" w:cs="Arial" w:hint="eastAsia"/>
                <w:color w:val="000000"/>
                <w:kern w:val="0"/>
                <w:sz w:val="30"/>
                <w:szCs w:val="30"/>
              </w:rPr>
              <w:t>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dstrike/>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 螺纹钢期货合约上市运行不同阶段的交易保证金收取标准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ind w:firstLine="1260"/>
              <w:jc w:val="left"/>
              <w:divId w:val="783354594"/>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螺纹钢交易保证金比例</w:t>
            </w:r>
          </w:p>
        </w:tc>
      </w:tr>
      <w:tr w:rsidR="00767EA8" w:rsidRPr="00767EA8" w:rsidTr="00767EA8">
        <w:trPr>
          <w:cantSplit/>
          <w:trHeight w:val="265"/>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32"/>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表二十一 线材期货合约上市运行不同阶段的交易保证金收取标准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线材交易保证金比例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7%</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表二十二 热轧卷板期货合约上市运行不同阶段的交易保证金收取标准</w:t>
      </w:r>
    </w:p>
    <w:tbl>
      <w:tblPr>
        <w:tblW w:w="0" w:type="auto"/>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533"/>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热轧卷板交易保证金比例</w:t>
            </w:r>
          </w:p>
        </w:tc>
      </w:tr>
      <w:tr w:rsidR="00767EA8" w:rsidRPr="00767EA8" w:rsidTr="00767EA8">
        <w:trPr>
          <w:cantSplit/>
          <w:trHeight w:val="47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w:t>
            </w:r>
          </w:p>
        </w:tc>
      </w:tr>
      <w:tr w:rsidR="00767EA8" w:rsidRPr="00767EA8" w:rsidTr="00767EA8">
        <w:trPr>
          <w:cantSplit/>
          <w:trHeight w:val="557"/>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604"/>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570"/>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表二十三 黄金期货合约上市运行不同阶段的交易保证金收取标准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黄金交易保证金比例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表二十四 白银期货合约上市运行不同阶段的交易保证金收取标准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白银交易保证金比例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FFFFFF"/>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dstrike/>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表二十五 天然橡胶期货合约上市运行不同阶段的交易保证金收取标准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天然橡胶交易保证金比例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交割月份第一个交易日起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dstrike/>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表二十六 燃料油期货合约上市运行不同阶段的交易保证金收取标准</w:t>
      </w:r>
    </w:p>
    <w:tbl>
      <w:tblPr>
        <w:tblW w:w="8100" w:type="dxa"/>
        <w:jc w:val="center"/>
        <w:tblCellMar>
          <w:left w:w="0" w:type="dxa"/>
          <w:right w:w="0" w:type="dxa"/>
        </w:tblCellMar>
        <w:tblLook w:val="04A0" w:firstRow="1" w:lastRow="0" w:firstColumn="1" w:lastColumn="0" w:noHBand="0" w:noVBand="1"/>
      </w:tblPr>
      <w:tblGrid>
        <w:gridCol w:w="3960"/>
        <w:gridCol w:w="4140"/>
      </w:tblGrid>
      <w:tr w:rsidR="00767EA8" w:rsidRPr="00767EA8" w:rsidTr="00767EA8">
        <w:trPr>
          <w:cantSplit/>
          <w:trHeight w:val="454"/>
          <w:jc w:val="center"/>
        </w:trPr>
        <w:tc>
          <w:tcPr>
            <w:tcW w:w="3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140"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燃料油交易保证金比例</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8%</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交割月前第二月的第十个交易日起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交割月前第一月的第十个交易日起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69"/>
          <w:jc w:val="center"/>
        </w:trPr>
        <w:tc>
          <w:tcPr>
            <w:tcW w:w="396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140"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8"/>
          <w:kern w:val="0"/>
          <w:sz w:val="30"/>
          <w:szCs w:val="30"/>
        </w:rPr>
        <w:t>表二十七 石油沥青期货合约上市运行不同阶段的交易保证金收取标准</w:t>
      </w:r>
    </w:p>
    <w:tbl>
      <w:tblPr>
        <w:tblW w:w="0" w:type="auto"/>
        <w:jc w:val="center"/>
        <w:tblCellMar>
          <w:left w:w="0" w:type="dxa"/>
          <w:right w:w="0" w:type="dxa"/>
        </w:tblCellMar>
        <w:tblLook w:val="04A0" w:firstRow="1" w:lastRow="0" w:firstColumn="1" w:lastColumn="0" w:noHBand="0" w:noVBand="1"/>
      </w:tblPr>
      <w:tblGrid>
        <w:gridCol w:w="3827"/>
        <w:gridCol w:w="4253"/>
      </w:tblGrid>
      <w:tr w:rsidR="00767EA8" w:rsidRPr="00767EA8" w:rsidTr="00767EA8">
        <w:trPr>
          <w:cantSplit/>
          <w:trHeight w:val="533"/>
          <w:jc w:val="center"/>
        </w:trPr>
        <w:tc>
          <w:tcPr>
            <w:tcW w:w="382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交易时间段</w:t>
            </w:r>
          </w:p>
        </w:tc>
        <w:tc>
          <w:tcPr>
            <w:tcW w:w="4253"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石油沥青交易保证金比例</w:t>
            </w:r>
          </w:p>
        </w:tc>
      </w:tr>
      <w:tr w:rsidR="00767EA8" w:rsidRPr="00767EA8" w:rsidTr="00767EA8">
        <w:trPr>
          <w:cantSplit/>
          <w:trHeight w:val="390"/>
          <w:jc w:val="center"/>
        </w:trPr>
        <w:tc>
          <w:tcPr>
            <w:tcW w:w="382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合约挂牌之日起</w:t>
            </w:r>
          </w:p>
        </w:tc>
        <w:tc>
          <w:tcPr>
            <w:tcW w:w="425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w:t>
            </w:r>
          </w:p>
        </w:tc>
      </w:tr>
      <w:tr w:rsidR="00767EA8" w:rsidRPr="00767EA8" w:rsidTr="00767EA8">
        <w:trPr>
          <w:cantSplit/>
          <w:trHeight w:val="397"/>
          <w:jc w:val="center"/>
        </w:trPr>
        <w:tc>
          <w:tcPr>
            <w:tcW w:w="382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交割月前第一月的第一个交易日起</w:t>
            </w:r>
          </w:p>
        </w:tc>
        <w:tc>
          <w:tcPr>
            <w:tcW w:w="425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10%</w:t>
            </w:r>
          </w:p>
        </w:tc>
      </w:tr>
      <w:tr w:rsidR="00767EA8" w:rsidRPr="00767EA8" w:rsidTr="00767EA8">
        <w:trPr>
          <w:cantSplit/>
          <w:trHeight w:val="397"/>
          <w:jc w:val="center"/>
        </w:trPr>
        <w:tc>
          <w:tcPr>
            <w:tcW w:w="382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交割月份的第一个交易日起</w:t>
            </w:r>
          </w:p>
        </w:tc>
        <w:tc>
          <w:tcPr>
            <w:tcW w:w="425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15%</w:t>
            </w:r>
          </w:p>
        </w:tc>
      </w:tr>
      <w:tr w:rsidR="00767EA8" w:rsidRPr="00767EA8" w:rsidTr="00767EA8">
        <w:trPr>
          <w:cantSplit/>
          <w:trHeight w:val="397"/>
          <w:jc w:val="center"/>
        </w:trPr>
        <w:tc>
          <w:tcPr>
            <w:tcW w:w="382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最后交易日前二个交易日起</w:t>
            </w:r>
          </w:p>
        </w:tc>
        <w:tc>
          <w:tcPr>
            <w:tcW w:w="425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vAlign w:val="center"/>
            <w:hideMark/>
          </w:tcPr>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20%</w:t>
            </w:r>
          </w:p>
        </w:tc>
      </w:tr>
    </w:tbl>
    <w:p w:rsidR="00767EA8" w:rsidRPr="00767EA8" w:rsidRDefault="00767EA8" w:rsidP="00767EA8">
      <w:pPr>
        <w:widowControl/>
        <w:spacing w:line="46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某一期货合约达到应该调整交易保证金的标准时（详见表十四、十五、十六、十七、十八、十九、二十、二十一、二十二、二十三、二十四、二十五、二十六、二十七），交易所应当在新标准执行前一交易日的结算时对该合约的所有历史持仓按新的交易保证金标准进行结算，保证金不足的，应当在下一个交易日开市前追加到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在进入交割月份后，卖方可以用标准仓单作为与其所示数量相同的交割月份期货合约持仓的履约保证，其持仓对应的交易保证金不再收取。</w:t>
      </w:r>
    </w:p>
    <w:p w:rsidR="00767EA8" w:rsidRPr="00767EA8" w:rsidRDefault="00767EA8" w:rsidP="00767EA8">
      <w:pPr>
        <w:widowControl/>
        <w:spacing w:line="520" w:lineRule="atLeast"/>
        <w:ind w:firstLine="420"/>
        <w:jc w:val="left"/>
        <w:rPr>
          <w:rFonts w:ascii="仿宋_GB2312" w:eastAsia="仿宋_GB2312" w:hAnsi="Arial" w:cs="Arial" w:hint="eastAsia"/>
          <w:color w:val="000000"/>
          <w:kern w:val="0"/>
          <w:sz w:val="30"/>
          <w:szCs w:val="30"/>
        </w:rPr>
      </w:pPr>
      <w:r w:rsidRPr="00767EA8">
        <w:rPr>
          <w:rFonts w:ascii="仿宋_GB2312" w:eastAsia="仿宋_GB2312" w:hAnsi="Arial" w:cs="Arial" w:hint="eastAsia"/>
          <w:color w:val="000000"/>
          <w:kern w:val="0"/>
          <w:sz w:val="30"/>
          <w:szCs w:val="30"/>
        </w:rPr>
        <w:t xml:space="preserve">（三）某一期货合约上市运行阶段时间段的划分方法（举例说明）: 如Cu0305，其运行阶段是从2002年5月16日起至2003年5月15日止，其中: 2002年5月16日为该合约新上市挂牌之日、2003年5月15日为最后交易日、2003年5月14日为最后交易日前一个交易日，2003年5月13日为最后交易日前二个交易日，2003年5月为交割月份、2003年4月为交割月前第一月、2003年3月为交割月前第二月、2003年2月为交割月前第三月。示意图如下: </w:t>
      </w:r>
    </w:p>
    <w:p w:rsidR="00767EA8" w:rsidRPr="00767EA8" w:rsidRDefault="00767EA8" w:rsidP="00767EA8">
      <w:pPr>
        <w:widowControl/>
        <w:spacing w:line="520" w:lineRule="atLeast"/>
        <w:ind w:firstLine="420"/>
        <w:jc w:val="left"/>
        <w:rPr>
          <w:rFonts w:ascii="仿宋_GB2312" w:eastAsia="仿宋_GB2312" w:hAnsi="Arial" w:cs="Arial" w:hint="eastAsia"/>
          <w:color w:val="000000"/>
          <w:kern w:val="0"/>
          <w:sz w:val="30"/>
          <w:szCs w:val="30"/>
        </w:rPr>
      </w:pPr>
      <w:r w:rsidRPr="00767EA8">
        <w:rPr>
          <w:rFonts w:ascii="仿宋_GB2312" w:eastAsia="仿宋_GB2312" w:hAnsi="Arial" w:cs="Arial" w:hint="eastAsia"/>
          <w:noProof/>
          <w:color w:val="000000"/>
          <w:kern w:val="0"/>
          <w:sz w:val="30"/>
          <w:szCs w:val="30"/>
        </w:rPr>
        <w:lastRenderedPageBreak/>
        <w:drawing>
          <wp:inline distT="0" distB="0" distL="0" distR="0" wp14:anchorId="19A80D8A" wp14:editId="5F1C2805">
            <wp:extent cx="5505450" cy="1495425"/>
            <wp:effectExtent l="0" t="0" r="0" b="9525"/>
            <wp:docPr id="1" name="图片 1" descr="http://www.shfe.com.cn/upload/20150617/14345112939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fe.com.cn/upload/20150617/143451129392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05450" cy="1495425"/>
                    </a:xfrm>
                    <a:prstGeom prst="rect">
                      <a:avLst/>
                    </a:prstGeom>
                    <a:noFill/>
                    <a:ln>
                      <a:noFill/>
                    </a:ln>
                  </pic:spPr>
                </pic:pic>
              </a:graphicData>
            </a:graphic>
          </wp:inline>
        </w:drawing>
      </w:r>
    </w:p>
    <w:p w:rsidR="00767EA8" w:rsidRPr="00767EA8" w:rsidRDefault="00767EA8" w:rsidP="00767EA8">
      <w:pPr>
        <w:widowControl/>
        <w:spacing w:line="520" w:lineRule="atLeast"/>
        <w:ind w:firstLine="420"/>
        <w:jc w:val="left"/>
        <w:rPr>
          <w:rFonts w:ascii="仿宋_GB2312" w:eastAsia="仿宋_GB2312" w:hAnsi="Arial" w:cs="Arial" w:hint="eastAsia"/>
          <w:color w:val="000000"/>
          <w:kern w:val="0"/>
          <w:sz w:val="30"/>
          <w:szCs w:val="30"/>
        </w:rPr>
      </w:pPr>
      <w:r w:rsidRPr="00767EA8">
        <w:rPr>
          <w:rFonts w:ascii="仿宋_GB2312" w:eastAsia="仿宋_GB2312" w:hAnsi="Arial" w:cs="Arial" w:hint="eastAsia"/>
          <w:color w:val="000000"/>
          <w:kern w:val="0"/>
          <w:sz w:val="30"/>
          <w:szCs w:val="30"/>
        </w:rPr>
        <w:t>本办法有关条款时间段的划分方法参照本款执行。</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第六条 当某期货合约出现涨跌停板的情况，则该期货合约的交易保证金按第三章的有关规定执行。</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第七条 当某铜、铝、锌、螺纹钢、线材期货、热轧卷板期货合约连续三个交易日（即D1、D2、D3交易日）的累计涨跌幅（N）达到7.5%； 或连续四个交易日（即D1、D2、D3、D4交易日）的累计涨跌幅（N）达到9%； 或连续五个交易日（即D1、D2、D3、D4、D5 交易日）的累计涨跌幅（N）达到10.5%时，交易所可以根据市场情况，采取单边或双边、同比例或不同比例、部分会员或全部会员提高交易保证金，限制部分会员或全部会员出金，暂停部分会员或全部会员开新仓，调整涨跌停板幅度，限期平仓，强行平仓等措施中的一种或多种措施，但调整后的涨跌停板幅度不超过20%。</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某铅、镍、锡、黄金期货合约连续三个交易日（即D1、D2、D3交易日）的累计涨跌幅（N）达到10%；或连续四个交易日（即D1、D2、D3、D4交易日）的累计涨跌幅（N）达到12%；或连续五个交易日（即D1、D2、D3、D4、D5交易日）的累计涨跌幅（N）达到14%时，交易所可以根据市场情况，采取单边或双边、同比</w:t>
      </w:r>
      <w:r w:rsidRPr="00767EA8">
        <w:rPr>
          <w:rFonts w:ascii="仿宋_GB2312" w:eastAsia="仿宋_GB2312" w:hAnsi="Arial" w:cs="Arial" w:hint="eastAsia"/>
          <w:color w:val="000000"/>
          <w:kern w:val="0"/>
          <w:sz w:val="30"/>
          <w:szCs w:val="30"/>
        </w:rPr>
        <w:lastRenderedPageBreak/>
        <w:t>例或不同比例、部分会员或全部会员提高交易保证金，限制部分会员或全部会员出金，暂停部分会员或全部会员开新仓，调整涨跌停板幅度，限期平仓，强行平仓等措施中的一种或多种措施，但调整后的涨跌停板幅度不超过20%。</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当某天然橡胶、石油沥青期货合约连续三个交易日（即D1、D2、D3 交易日）的累计涨跌幅（N）达到9%； 或连续四个交易日（即D1、D2、D3、D4交易日）的累计涨跌幅（N）达到12%； 或连续五个交易日(即D1、D2、D3、D4、D5交易日）的累计涨跌幅（N）达到13.5%时，交易所可以根据市场情况，采取单边或双边、同比例或不同比例、部分会员或全部会员提高交易保证金，限制部分会员或全部会员出金，暂停部分会员或全部会员开新仓，调整涨跌停板幅度，限期平仓，强行平仓等措施中的一种或多种措施，但调整后的涨跌停板幅度不超过20%。</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当某燃料油、白银期货合约连续三个交易日（即D1、D2、D3 交易日）的累计涨跌幅（N）达到12% ； 或连续四个交易日（即D1、D2、D3、D4交易日）的累计涨跌幅（N）达到14%； 或连续五个交易日（即D1、D2、D3、D4、D5交易日）的累计涨跌幅（N）达到16%时，交易所可以根据市场情况，采取单边或双边、同比例或不同比例、部分会员或全部会员提高交易保证金，限制部分会员或全部会员出金，暂停部分会员或全部会员开新仓，调整涨跌停板幅度，限期平仓，强行平仓等措施中的一种或多种措施，但调整后的涨跌停板幅度不超过20%。</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N 的计算公式:</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noProof/>
          <w:color w:val="000000"/>
          <w:kern w:val="0"/>
          <w:sz w:val="30"/>
          <w:szCs w:val="30"/>
        </w:rPr>
        <w:drawing>
          <wp:inline distT="0" distB="0" distL="0" distR="0" wp14:anchorId="56382D31" wp14:editId="442AA7C9">
            <wp:extent cx="4124325" cy="371475"/>
            <wp:effectExtent l="0" t="0" r="9525" b="9525"/>
            <wp:docPr id="2" name="图片 2" descr="http://www.shfe.com.cn/upload/20150617/1434511342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fe.com.cn/upload/20150617/143451134211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4325" cy="371475"/>
                    </a:xfrm>
                    <a:prstGeom prst="rect">
                      <a:avLst/>
                    </a:prstGeom>
                    <a:noFill/>
                    <a:ln>
                      <a:noFill/>
                    </a:ln>
                  </pic:spPr>
                </pic:pic>
              </a:graphicData>
            </a:graphic>
          </wp:inline>
        </w:drawing>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i/>
          <w:iCs/>
          <w:color w:val="000000"/>
          <w:kern w:val="0"/>
          <w:sz w:val="30"/>
          <w:szCs w:val="30"/>
        </w:rPr>
        <w:t>P</w:t>
      </w:r>
      <w:r w:rsidRPr="00767EA8">
        <w:rPr>
          <w:rFonts w:ascii="仿宋_GB2312" w:eastAsia="仿宋_GB2312" w:hAnsi="Arial" w:cs="Arial" w:hint="eastAsia"/>
          <w:color w:val="000000"/>
          <w:kern w:val="0"/>
          <w:sz w:val="30"/>
          <w:szCs w:val="30"/>
          <w:vertAlign w:val="subscript"/>
        </w:rPr>
        <w:t xml:space="preserve">0 </w:t>
      </w:r>
      <w:r w:rsidRPr="00767EA8">
        <w:rPr>
          <w:rFonts w:ascii="仿宋_GB2312" w:eastAsia="仿宋_GB2312" w:hAnsi="Arial" w:cs="Arial" w:hint="eastAsia"/>
          <w:color w:val="000000"/>
          <w:kern w:val="0"/>
          <w:sz w:val="30"/>
          <w:szCs w:val="30"/>
        </w:rPr>
        <w:t>为</w:t>
      </w:r>
      <w:r w:rsidRPr="00767EA8">
        <w:rPr>
          <w:rFonts w:ascii="仿宋_GB2312" w:eastAsia="仿宋_GB2312" w:hAnsi="Arial" w:cs="Arial" w:hint="eastAsia"/>
          <w:i/>
          <w:iCs/>
          <w:color w:val="000000"/>
          <w:kern w:val="0"/>
          <w:sz w:val="30"/>
          <w:szCs w:val="30"/>
        </w:rPr>
        <w:t>D</w:t>
      </w:r>
      <w:r w:rsidRPr="00767EA8">
        <w:rPr>
          <w:rFonts w:ascii="仿宋_GB2312" w:eastAsia="仿宋_GB2312" w:hAnsi="Arial" w:cs="Arial" w:hint="eastAsia"/>
          <w:color w:val="000000"/>
          <w:kern w:val="0"/>
          <w:sz w:val="30"/>
          <w:szCs w:val="30"/>
          <w:vertAlign w:val="subscript"/>
        </w:rPr>
        <w:t xml:space="preserve">1 </w:t>
      </w:r>
      <w:r w:rsidRPr="00767EA8">
        <w:rPr>
          <w:rFonts w:ascii="仿宋_GB2312" w:eastAsia="仿宋_GB2312" w:hAnsi="Arial" w:cs="Arial" w:hint="eastAsia"/>
          <w:color w:val="000000"/>
          <w:kern w:val="0"/>
          <w:sz w:val="30"/>
          <w:szCs w:val="30"/>
        </w:rPr>
        <w:t>交易日前一交易日结算价</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proofErr w:type="spellStart"/>
      <w:r w:rsidRPr="00767EA8">
        <w:rPr>
          <w:rFonts w:ascii="仿宋_GB2312" w:eastAsia="仿宋_GB2312" w:hAnsi="Arial" w:cs="Arial" w:hint="eastAsia"/>
          <w:i/>
          <w:iCs/>
          <w:color w:val="000000"/>
          <w:kern w:val="0"/>
          <w:sz w:val="30"/>
          <w:szCs w:val="30"/>
        </w:rPr>
        <w:t>P</w:t>
      </w:r>
      <w:r w:rsidRPr="00767EA8">
        <w:rPr>
          <w:rFonts w:ascii="仿宋_GB2312" w:eastAsia="仿宋_GB2312" w:hAnsi="Arial" w:cs="Arial" w:hint="eastAsia"/>
          <w:color w:val="000000"/>
          <w:kern w:val="0"/>
          <w:sz w:val="30"/>
          <w:szCs w:val="30"/>
          <w:vertAlign w:val="subscript"/>
        </w:rPr>
        <w:t>t</w:t>
      </w:r>
      <w:proofErr w:type="spellEnd"/>
      <w:r w:rsidRPr="00767EA8">
        <w:rPr>
          <w:rFonts w:ascii="仿宋_GB2312" w:eastAsia="仿宋_GB2312" w:hAnsi="Arial" w:cs="Arial" w:hint="eastAsia"/>
          <w:color w:val="000000"/>
          <w:kern w:val="0"/>
          <w:sz w:val="30"/>
          <w:szCs w:val="30"/>
          <w:vertAlign w:val="subscript"/>
        </w:rPr>
        <w:t xml:space="preserve"> </w:t>
      </w:r>
      <w:r w:rsidRPr="00767EA8">
        <w:rPr>
          <w:rFonts w:ascii="仿宋_GB2312" w:eastAsia="仿宋_GB2312" w:hAnsi="Arial" w:cs="Arial" w:hint="eastAsia"/>
          <w:color w:val="000000"/>
          <w:kern w:val="0"/>
          <w:sz w:val="30"/>
          <w:szCs w:val="30"/>
        </w:rPr>
        <w:t>为</w:t>
      </w:r>
      <w:r w:rsidRPr="00767EA8">
        <w:rPr>
          <w:rFonts w:ascii="仿宋_GB2312" w:eastAsia="仿宋_GB2312" w:hAnsi="Arial" w:cs="Arial" w:hint="eastAsia"/>
          <w:i/>
          <w:iCs/>
          <w:color w:val="000000"/>
          <w:kern w:val="0"/>
          <w:sz w:val="30"/>
          <w:szCs w:val="30"/>
        </w:rPr>
        <w:t>t</w:t>
      </w:r>
      <w:r w:rsidRPr="00767EA8">
        <w:rPr>
          <w:rFonts w:ascii="仿宋_GB2312" w:eastAsia="仿宋_GB2312" w:hAnsi="Arial" w:cs="Arial" w:hint="eastAsia"/>
          <w:color w:val="000000"/>
          <w:kern w:val="0"/>
          <w:sz w:val="30"/>
          <w:szCs w:val="30"/>
        </w:rPr>
        <w:t>交易日结算价，</w:t>
      </w:r>
      <w:r w:rsidRPr="00767EA8">
        <w:rPr>
          <w:rFonts w:ascii="仿宋_GB2312" w:eastAsia="仿宋_GB2312" w:hAnsi="Arial" w:cs="Arial" w:hint="eastAsia"/>
          <w:i/>
          <w:iCs/>
          <w:color w:val="000000"/>
          <w:kern w:val="0"/>
          <w:sz w:val="30"/>
          <w:szCs w:val="30"/>
        </w:rPr>
        <w:t>t</w:t>
      </w:r>
      <w:r w:rsidRPr="00767EA8">
        <w:rPr>
          <w:rFonts w:ascii="仿宋_GB2312" w:eastAsia="仿宋_GB2312" w:hAnsi="Arial" w:cs="Arial" w:hint="eastAsia"/>
          <w:color w:val="000000"/>
          <w:kern w:val="0"/>
          <w:sz w:val="30"/>
          <w:szCs w:val="30"/>
        </w:rPr>
        <w:t xml:space="preserve">= 3，4，5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i/>
          <w:iCs/>
          <w:color w:val="000000"/>
          <w:kern w:val="0"/>
          <w:sz w:val="30"/>
          <w:szCs w:val="30"/>
        </w:rPr>
        <w:t>P</w:t>
      </w:r>
      <w:r w:rsidRPr="00767EA8">
        <w:rPr>
          <w:rFonts w:ascii="仿宋_GB2312" w:eastAsia="仿宋_GB2312" w:hAnsi="Arial" w:cs="Arial" w:hint="eastAsia"/>
          <w:color w:val="000000"/>
          <w:kern w:val="0"/>
          <w:sz w:val="30"/>
          <w:szCs w:val="30"/>
          <w:vertAlign w:val="subscript"/>
        </w:rPr>
        <w:t xml:space="preserve">3 </w:t>
      </w:r>
      <w:r w:rsidRPr="00767EA8">
        <w:rPr>
          <w:rFonts w:ascii="仿宋_GB2312" w:eastAsia="仿宋_GB2312" w:hAnsi="Arial" w:cs="Arial" w:hint="eastAsia"/>
          <w:color w:val="000000"/>
          <w:kern w:val="0"/>
          <w:sz w:val="30"/>
          <w:szCs w:val="30"/>
        </w:rPr>
        <w:t>为</w:t>
      </w:r>
      <w:r w:rsidRPr="00767EA8">
        <w:rPr>
          <w:rFonts w:ascii="仿宋_GB2312" w:eastAsia="仿宋_GB2312" w:hAnsi="Arial" w:cs="Arial" w:hint="eastAsia"/>
          <w:i/>
          <w:iCs/>
          <w:color w:val="000000"/>
          <w:kern w:val="0"/>
          <w:sz w:val="30"/>
          <w:szCs w:val="30"/>
        </w:rPr>
        <w:t>D</w:t>
      </w:r>
      <w:r w:rsidRPr="00767EA8">
        <w:rPr>
          <w:rFonts w:ascii="仿宋_GB2312" w:eastAsia="仿宋_GB2312" w:hAnsi="Arial" w:cs="Arial" w:hint="eastAsia"/>
          <w:color w:val="000000"/>
          <w:kern w:val="0"/>
          <w:sz w:val="30"/>
          <w:szCs w:val="30"/>
          <w:vertAlign w:val="subscript"/>
        </w:rPr>
        <w:t xml:space="preserve">3 </w:t>
      </w:r>
      <w:r w:rsidRPr="00767EA8">
        <w:rPr>
          <w:rFonts w:ascii="仿宋_GB2312" w:eastAsia="仿宋_GB2312" w:hAnsi="Arial" w:cs="Arial" w:hint="eastAsia"/>
          <w:color w:val="000000"/>
          <w:kern w:val="0"/>
          <w:sz w:val="30"/>
          <w:szCs w:val="30"/>
        </w:rPr>
        <w:t>交易日结算价</w:t>
      </w:r>
      <w:r w:rsidRPr="00767EA8">
        <w:rPr>
          <w:rFonts w:ascii="仿宋_GB2312" w:eastAsia="仿宋_GB2312" w:hAnsi="Arial" w:cs="Arial" w:hint="eastAsia"/>
          <w:color w:val="000000"/>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i/>
          <w:iCs/>
          <w:color w:val="000000"/>
          <w:kern w:val="0"/>
          <w:sz w:val="30"/>
          <w:szCs w:val="30"/>
        </w:rPr>
        <w:t>P</w:t>
      </w:r>
      <w:r w:rsidRPr="00767EA8">
        <w:rPr>
          <w:rFonts w:ascii="仿宋_GB2312" w:eastAsia="仿宋_GB2312" w:hAnsi="Arial" w:cs="Arial" w:hint="eastAsia"/>
          <w:color w:val="000000"/>
          <w:kern w:val="0"/>
          <w:sz w:val="30"/>
          <w:szCs w:val="30"/>
          <w:vertAlign w:val="subscript"/>
        </w:rPr>
        <w:t xml:space="preserve">4 </w:t>
      </w:r>
      <w:r w:rsidRPr="00767EA8">
        <w:rPr>
          <w:rFonts w:ascii="仿宋_GB2312" w:eastAsia="仿宋_GB2312" w:hAnsi="Arial" w:cs="Arial" w:hint="eastAsia"/>
          <w:color w:val="000000"/>
          <w:kern w:val="0"/>
          <w:sz w:val="30"/>
          <w:szCs w:val="30"/>
        </w:rPr>
        <w:t>为</w:t>
      </w:r>
      <w:r w:rsidRPr="00767EA8">
        <w:rPr>
          <w:rFonts w:ascii="仿宋_GB2312" w:eastAsia="仿宋_GB2312" w:hAnsi="Arial" w:cs="Arial" w:hint="eastAsia"/>
          <w:i/>
          <w:iCs/>
          <w:color w:val="000000"/>
          <w:kern w:val="0"/>
          <w:sz w:val="30"/>
          <w:szCs w:val="30"/>
        </w:rPr>
        <w:t>D</w:t>
      </w:r>
      <w:r w:rsidRPr="00767EA8">
        <w:rPr>
          <w:rFonts w:ascii="仿宋_GB2312" w:eastAsia="仿宋_GB2312" w:hAnsi="Arial" w:cs="Arial" w:hint="eastAsia"/>
          <w:color w:val="000000"/>
          <w:kern w:val="0"/>
          <w:sz w:val="30"/>
          <w:szCs w:val="30"/>
          <w:vertAlign w:val="subscript"/>
        </w:rPr>
        <w:t xml:space="preserve">4 </w:t>
      </w:r>
      <w:r w:rsidRPr="00767EA8">
        <w:rPr>
          <w:rFonts w:ascii="仿宋_GB2312" w:eastAsia="仿宋_GB2312" w:hAnsi="Arial" w:cs="Arial" w:hint="eastAsia"/>
          <w:color w:val="000000"/>
          <w:kern w:val="0"/>
          <w:sz w:val="30"/>
          <w:szCs w:val="30"/>
        </w:rPr>
        <w:t>交易日结算价</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i/>
          <w:iCs/>
          <w:color w:val="000000"/>
          <w:kern w:val="0"/>
          <w:sz w:val="30"/>
          <w:szCs w:val="30"/>
        </w:rPr>
        <w:t>P</w:t>
      </w:r>
      <w:r w:rsidRPr="00767EA8">
        <w:rPr>
          <w:rFonts w:ascii="仿宋_GB2312" w:eastAsia="仿宋_GB2312" w:hAnsi="Arial" w:cs="Arial" w:hint="eastAsia"/>
          <w:color w:val="000000"/>
          <w:kern w:val="0"/>
          <w:sz w:val="30"/>
          <w:szCs w:val="30"/>
          <w:vertAlign w:val="subscript"/>
        </w:rPr>
        <w:t xml:space="preserve">5 </w:t>
      </w:r>
      <w:r w:rsidRPr="00767EA8">
        <w:rPr>
          <w:rFonts w:ascii="仿宋_GB2312" w:eastAsia="仿宋_GB2312" w:hAnsi="Arial" w:cs="Arial" w:hint="eastAsia"/>
          <w:color w:val="000000"/>
          <w:kern w:val="0"/>
          <w:sz w:val="30"/>
          <w:szCs w:val="30"/>
        </w:rPr>
        <w:t>为</w:t>
      </w:r>
      <w:r w:rsidRPr="00767EA8">
        <w:rPr>
          <w:rFonts w:ascii="仿宋_GB2312" w:eastAsia="仿宋_GB2312" w:hAnsi="Arial" w:cs="Arial" w:hint="eastAsia"/>
          <w:i/>
          <w:iCs/>
          <w:color w:val="000000"/>
          <w:kern w:val="0"/>
          <w:sz w:val="30"/>
          <w:szCs w:val="30"/>
        </w:rPr>
        <w:t>D</w:t>
      </w:r>
      <w:r w:rsidRPr="00767EA8">
        <w:rPr>
          <w:rFonts w:ascii="仿宋_GB2312" w:eastAsia="仿宋_GB2312" w:hAnsi="Arial" w:cs="Arial" w:hint="eastAsia"/>
          <w:color w:val="000000"/>
          <w:kern w:val="0"/>
          <w:sz w:val="30"/>
          <w:szCs w:val="30"/>
          <w:vertAlign w:val="subscript"/>
        </w:rPr>
        <w:t>5</w:t>
      </w:r>
      <w:r w:rsidRPr="00767EA8">
        <w:rPr>
          <w:rFonts w:ascii="仿宋_GB2312" w:eastAsia="仿宋_GB2312" w:hAnsi="Arial" w:cs="Arial" w:hint="eastAsia"/>
          <w:color w:val="000000"/>
          <w:kern w:val="0"/>
          <w:sz w:val="30"/>
          <w:szCs w:val="30"/>
        </w:rPr>
        <w:t>交易日结算价</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交易所采取本条规定措施的，应当事先报告中国证监会。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第八条 对同时适用本办法规定的两种或两种以上交易保证金比例的，其交易保证金按照规定交易保证金比例中的最高值收取。</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第三章 涨跌停板制度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第九条 交易所实行价格涨跌停板制度，由交易所制定各上市期货合约的每日最大价格波动幅度。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在某一期货合约的交易过程中，当出现下列情况时，交易所可以根据市场风险调整其涨跌停板幅度: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（一）期货合约价格出现同方向连续涨跌停板时；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（二）遇国家法定长假时；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（三）交易所认为市场风险明显变化时；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（四）交易所认为必要的其他情况。</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交易所根据市场情况决定调整涨跌停板幅度的，应当公告，并报告中国证监会。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对同时适用本办法规定的两种或两种以上涨跌停板的，其涨跌停板按照规定涨跌停板中的最高值确定。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第十条 当某期货合约以涨跌停板价格成交时，成交撮合实行平仓优先和时间优先的原则，但平当日新开</w:t>
      </w:r>
      <w:proofErr w:type="gramStart"/>
      <w:r w:rsidRPr="00767EA8">
        <w:rPr>
          <w:rFonts w:ascii="仿宋_GB2312" w:eastAsia="仿宋_GB2312" w:hAnsi="Arial" w:cs="Arial" w:hint="eastAsia"/>
          <w:color w:val="000000"/>
          <w:kern w:val="0"/>
          <w:sz w:val="30"/>
          <w:szCs w:val="30"/>
        </w:rPr>
        <w:t>仓位</w:t>
      </w:r>
      <w:proofErr w:type="gramEnd"/>
      <w:r w:rsidRPr="00767EA8">
        <w:rPr>
          <w:rFonts w:ascii="仿宋_GB2312" w:eastAsia="仿宋_GB2312" w:hAnsi="Arial" w:cs="Arial" w:hint="eastAsia"/>
          <w:color w:val="000000"/>
          <w:kern w:val="0"/>
          <w:sz w:val="30"/>
          <w:szCs w:val="30"/>
        </w:rPr>
        <w:t>不适用平仓优先的原则。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第十一条 涨（跌）停板单边无连续报价（以下简称单边市）是指某一期货合约在某一交易日收盘前5分钟内出现只有停板价位的买入（卖出）申报、没有停板价位的卖出（买入）申报，或者一有卖出（买入）申报就成交、但未打开停板价位的情况。连续的两个交易日出现同一方向的涨（跌）停板单边无连续报价情况，称为同方向单边市；在出现单边市之后的下一个交易日出现反方向的涨（跌）停板单边无连续报价情况，则称为反方向单边市。</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第十二条 当某期货合约在某一交易日（该交易日称为D1交易日，以下几个交易日分别称为D2、D3、D4、D5、D6交易日，D0交易日为D1交易日前一交易日）出现单边市，则该期货合约D2交易日涨跌停板幅度按下述方法调整：铜、铝、锌、铅、</w:t>
      </w:r>
      <w:r w:rsidRPr="00767EA8">
        <w:rPr>
          <w:rFonts w:ascii="仿宋_GB2312" w:eastAsia="仿宋_GB2312" w:hAnsi="Arial" w:cs="Arial" w:hint="eastAsia"/>
          <w:color w:val="000000"/>
          <w:kern w:val="0"/>
          <w:sz w:val="30"/>
          <w:szCs w:val="30"/>
        </w:rPr>
        <w:t>镍、锡、螺纹钢、线材、热轧卷板、黄金、白银、天然橡胶、燃</w:t>
      </w:r>
      <w:r w:rsidRPr="00767EA8">
        <w:rPr>
          <w:rFonts w:ascii="仿宋_GB2312" w:eastAsia="仿宋_GB2312" w:hAnsi="Arial" w:cs="Arial" w:hint="eastAsia"/>
          <w:kern w:val="0"/>
          <w:sz w:val="30"/>
          <w:szCs w:val="30"/>
        </w:rPr>
        <w:t>料油和石油沥青期货合约的涨跌停板幅度为在D1交易日涨跌停板幅</w:t>
      </w:r>
      <w:r w:rsidRPr="00767EA8">
        <w:rPr>
          <w:rFonts w:ascii="仿宋_GB2312" w:eastAsia="仿宋_GB2312" w:hAnsi="Arial" w:cs="Arial" w:hint="eastAsia"/>
          <w:kern w:val="0"/>
          <w:sz w:val="30"/>
          <w:szCs w:val="30"/>
        </w:rPr>
        <w:lastRenderedPageBreak/>
        <w:t>度的基础上增加3个百分点。D1交易日结算时，该期货合约交易保证金比例按下述方法调整：铜、铝、锌、铅、</w:t>
      </w:r>
      <w:r w:rsidRPr="00767EA8">
        <w:rPr>
          <w:rFonts w:ascii="仿宋_GB2312" w:eastAsia="仿宋_GB2312" w:hAnsi="Arial" w:cs="Arial" w:hint="eastAsia"/>
          <w:color w:val="000000"/>
          <w:kern w:val="0"/>
          <w:sz w:val="30"/>
          <w:szCs w:val="30"/>
        </w:rPr>
        <w:t>镍、锡、</w:t>
      </w:r>
      <w:r w:rsidRPr="00767EA8">
        <w:rPr>
          <w:rFonts w:ascii="仿宋_GB2312" w:eastAsia="仿宋_GB2312" w:hAnsi="Arial" w:cs="Arial" w:hint="eastAsia"/>
          <w:kern w:val="0"/>
          <w:sz w:val="30"/>
          <w:szCs w:val="30"/>
        </w:rPr>
        <w:t>螺纹钢、线材、热轧卷板、黄金、白银、天然橡胶、燃料油和石油沥青期货合约的交易保证金比例为在D2交易日涨跌停板幅度的基础上增加2个百分点。如果该期货合约调整后的交易保证金比例低于D0交易日结算时的交易保证金比例，则按D0交易日结算时该期货合约交易保证金比例收取。</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若D1交易日为该期货合约上市挂盘后第一个交易日，则该期货合约上市挂盘当日交易保证金比例视为该期货合约D0交易日结算时的交易保证金比例。</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xml:space="preserve">第十三条 该期货合约若D2交易日未出现单边市，则D3交易日涨跌停板、交易保证金比例恢复到正常水平。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xml:space="preserve">若D2交易日出现反方向单边市，则视作新一轮单边市开始，该日即视为D1交易日，下一日交易保证金和涨跌停板参照本办法第十二条规定执行。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若D2交易日出现同方向单边市，则该期货合约D3交易日涨跌停板幅度按下述方法调整：铜、铝、锌、铅、</w:t>
      </w:r>
      <w:r w:rsidRPr="00767EA8">
        <w:rPr>
          <w:rFonts w:ascii="仿宋_GB2312" w:eastAsia="仿宋_GB2312" w:hAnsi="Arial" w:cs="Arial" w:hint="eastAsia"/>
          <w:color w:val="000000"/>
          <w:kern w:val="0"/>
          <w:sz w:val="30"/>
          <w:szCs w:val="30"/>
        </w:rPr>
        <w:t>镍、锡、</w:t>
      </w:r>
      <w:r w:rsidRPr="00767EA8">
        <w:rPr>
          <w:rFonts w:ascii="仿宋_GB2312" w:eastAsia="仿宋_GB2312" w:hAnsi="Arial" w:cs="Arial" w:hint="eastAsia"/>
          <w:kern w:val="0"/>
          <w:sz w:val="30"/>
          <w:szCs w:val="30"/>
        </w:rPr>
        <w:t>螺纹钢、线材、热轧卷板、黄金、天然橡胶、燃料油和石油沥青期货合约的涨跌停板幅度为在D1交易日涨跌停板幅度的基础上增加5个百分点，白银期货合约的涨跌停板幅度为在D1交易日涨跌停板幅度的基础上增加6个百分点。D2交易日结算时，该期货合约交易保证金比例按下述方法调整：铜、铝、锌、铅、</w:t>
      </w:r>
      <w:r w:rsidRPr="00767EA8">
        <w:rPr>
          <w:rFonts w:ascii="仿宋_GB2312" w:eastAsia="仿宋_GB2312" w:hAnsi="Arial" w:cs="Arial" w:hint="eastAsia"/>
          <w:color w:val="000000"/>
          <w:kern w:val="0"/>
          <w:sz w:val="30"/>
          <w:szCs w:val="30"/>
        </w:rPr>
        <w:t>镍、锡、螺</w:t>
      </w:r>
      <w:r w:rsidRPr="00767EA8">
        <w:rPr>
          <w:rFonts w:ascii="仿宋_GB2312" w:eastAsia="仿宋_GB2312" w:hAnsi="Arial" w:cs="Arial" w:hint="eastAsia"/>
          <w:color w:val="000000"/>
          <w:kern w:val="0"/>
          <w:sz w:val="30"/>
          <w:szCs w:val="30"/>
        </w:rPr>
        <w:lastRenderedPageBreak/>
        <w:t>纹</w:t>
      </w:r>
      <w:r w:rsidRPr="00767EA8">
        <w:rPr>
          <w:rFonts w:ascii="仿宋_GB2312" w:eastAsia="仿宋_GB2312" w:hAnsi="Arial" w:cs="Arial" w:hint="eastAsia"/>
          <w:kern w:val="0"/>
          <w:sz w:val="30"/>
          <w:szCs w:val="30"/>
        </w:rPr>
        <w:t>钢、线材、热轧卷板、黄金、天然橡胶、燃料油和石油沥青期货合约的交易保证金比例为在D3交易日涨跌停板幅度上增加2个百分点，白银期货合约的交易保证金比例为在D3交易日涨跌停板幅度上增加3个百分点。如果该期货合约调整后的交易保证金比例低于D0交易日结算时交易保证金比例，则按D0交易日结算时该期货合约的交易保证金比例收取。</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xml:space="preserve">第十四条 若D3交易日未出现单边市，则D4交易日涨跌停板、交易保证金比例恢复到正常水平。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xml:space="preserve">若D3交易日出现反方向单边市，则视作新一轮单边市开始，该日即视为D1交易日，下一日交易保证金和涨跌停板参照本办法第十二条规定执行。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若D3交易日期货合约出现同方向单边市（即连续三天达到涨跌停板），则当日收盘结算时，该铜、铝、锌、铅、</w:t>
      </w:r>
      <w:r w:rsidRPr="00767EA8">
        <w:rPr>
          <w:rFonts w:ascii="仿宋_GB2312" w:eastAsia="仿宋_GB2312" w:hAnsi="Arial" w:cs="Arial" w:hint="eastAsia"/>
          <w:color w:val="000000"/>
          <w:kern w:val="0"/>
          <w:sz w:val="30"/>
          <w:szCs w:val="30"/>
        </w:rPr>
        <w:t>镍、锡、</w:t>
      </w:r>
      <w:r w:rsidRPr="00767EA8">
        <w:rPr>
          <w:rFonts w:ascii="仿宋_GB2312" w:eastAsia="仿宋_GB2312" w:hAnsi="Arial" w:cs="Arial" w:hint="eastAsia"/>
          <w:kern w:val="0"/>
          <w:sz w:val="30"/>
          <w:szCs w:val="30"/>
        </w:rPr>
        <w:t>螺纹钢、线材、热轧卷板、黄金、白银、天然橡胶、燃料油和石油沥青期货合约的交易保证金仍按照D2交易日结算时的交易保证金比例收取，并且交易所可以对部分或全部会员暂停出金。</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当D3交易日期货合约</w:t>
      </w:r>
      <w:r w:rsidRPr="00767EA8">
        <w:rPr>
          <w:rFonts w:ascii="仿宋_GB2312" w:eastAsia="仿宋_GB2312" w:hAnsi="Arial" w:cs="Arial" w:hint="eastAsia"/>
          <w:color w:val="000000"/>
          <w:kern w:val="0"/>
          <w:sz w:val="30"/>
          <w:szCs w:val="30"/>
        </w:rPr>
        <w:t>出现</w:t>
      </w:r>
      <w:r w:rsidRPr="00767EA8">
        <w:rPr>
          <w:rFonts w:ascii="仿宋_GB2312" w:eastAsia="仿宋_GB2312" w:hAnsi="Arial" w:cs="Arial" w:hint="eastAsia"/>
          <w:kern w:val="0"/>
          <w:sz w:val="30"/>
          <w:szCs w:val="30"/>
        </w:rPr>
        <w:t>同方向单边市（即连续三天达到涨跌停板）时，若D3交易日是该合约的最后交易日，则该合约直接进入交割；若D4交易日是该合约的最后交易日，则D4交易日该合约按D3交易日的涨跌停板和保证金水平继续交易；除上述两种情况之外，D4交易日该期货合约暂停交易一天。交易所在</w:t>
      </w:r>
      <w:r w:rsidRPr="00767EA8">
        <w:rPr>
          <w:rFonts w:ascii="仿宋_GB2312" w:eastAsia="仿宋_GB2312" w:hAnsi="Arial" w:cs="Arial" w:hint="eastAsia"/>
          <w:kern w:val="0"/>
          <w:sz w:val="30"/>
          <w:szCs w:val="30"/>
        </w:rPr>
        <w:lastRenderedPageBreak/>
        <w:t>D4交易</w:t>
      </w:r>
      <w:proofErr w:type="gramStart"/>
      <w:r w:rsidRPr="00767EA8">
        <w:rPr>
          <w:rFonts w:ascii="仿宋_GB2312" w:eastAsia="仿宋_GB2312" w:hAnsi="Arial" w:cs="Arial" w:hint="eastAsia"/>
          <w:kern w:val="0"/>
          <w:sz w:val="30"/>
          <w:szCs w:val="30"/>
        </w:rPr>
        <w:t>日根据</w:t>
      </w:r>
      <w:proofErr w:type="gramEnd"/>
      <w:r w:rsidRPr="00767EA8">
        <w:rPr>
          <w:rFonts w:ascii="仿宋_GB2312" w:eastAsia="仿宋_GB2312" w:hAnsi="Arial" w:cs="Arial" w:hint="eastAsia"/>
          <w:kern w:val="0"/>
          <w:sz w:val="30"/>
          <w:szCs w:val="30"/>
        </w:rPr>
        <w:t>市场情况决定对该期货合约实施下列两种措施中的任意一种：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措施</w:t>
      </w:r>
      <w:proofErr w:type="gramStart"/>
      <w:r w:rsidRPr="00767EA8">
        <w:rPr>
          <w:rFonts w:ascii="仿宋_GB2312" w:eastAsia="仿宋_GB2312" w:hAnsi="Arial" w:cs="Arial" w:hint="eastAsia"/>
          <w:kern w:val="0"/>
          <w:sz w:val="30"/>
          <w:szCs w:val="30"/>
        </w:rPr>
        <w:t>一</w:t>
      </w:r>
      <w:proofErr w:type="gramEnd"/>
      <w:r w:rsidRPr="00767EA8">
        <w:rPr>
          <w:rFonts w:ascii="仿宋_GB2312" w:eastAsia="仿宋_GB2312" w:hAnsi="Arial" w:cs="Arial" w:hint="eastAsia"/>
          <w:kern w:val="0"/>
          <w:sz w:val="30"/>
          <w:szCs w:val="30"/>
        </w:rPr>
        <w:t>：D4交易日，交易所决定并公告在D5交易日采取单边或双边、同比例或不同比例、部分会员或全部会员提高交易保证金，暂停部分会员或全部会员开新仓，调整涨跌停板幅度，限制出金，限期平仓，强行平仓等措施中的一种或多种化解市场风险，但调整后的涨跌停板幅度不超过20%。在交易所宣布调整保证金水平之后，保证金不足者应当在D5交易日开市前追加到位。若D5交易日该期货合约的涨跌幅度未达到当日涨跌停板，则D6交易日该期货合约的涨跌停板和交易保证金比例均恢复正常水平；若D5交易日该期货合约的涨跌幅度与D3交易日同方向再达到当日涨跌停板，则交易所宣布为异常情况，并按有关规定采取风险控制措施；若D5交易日该期货合约的涨跌幅度与D3交易日反方向达到当日涨跌停板，则视作新一轮单边市开始，该日即视为D1交易日，下一日交易保证金和涨跌停板参照本办法第十二条规定执行。</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措施二：在D4交易日结算时，交易所将D3交易日闭市时以涨跌停板价申报的未成交平仓报单，以D3交易日的涨跌停板价，与该合约净持仓盈利客户（或非期货公司会员，下同）按持仓比例自动撮合成交。同一</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持有双向头寸，则首先平自己的头寸，再按上述方法平仓。具体操作方法如下：</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（一）申报平仓数量的确定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在D3交易日收市后，已在计算机系统中以涨跌停板价申报无法成交的，且</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该合约的单位净持仓亏损大于或等于D3交易日结算价6%（天然橡胶、燃料油和石油沥青为8%）的所有申报平仓数量的总和为平仓数量。若</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不愿按上述方法平仓可以在收市前撤单，则已撤报单不再作为申报的平仓报单。</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单位净持仓盈亏的计算方法</w:t>
      </w:r>
    </w:p>
    <w:p w:rsidR="00767EA8" w:rsidRPr="00767EA8" w:rsidRDefault="00767EA8" w:rsidP="00767EA8">
      <w:pPr>
        <w:widowControl/>
        <w:snapToGrid w:val="0"/>
        <w:ind w:firstLine="336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该合约净持仓盈亏的总和（元）</w:t>
      </w:r>
    </w:p>
    <w:p w:rsidR="00767EA8" w:rsidRPr="00767EA8" w:rsidRDefault="00767EA8" w:rsidP="00767EA8">
      <w:pPr>
        <w:widowControl/>
        <w:snapToGrid w:val="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 xml:space="preserve">该合约单位净持仓盈亏 = </w:t>
      </w:r>
      <w:r w:rsidRPr="00767EA8">
        <w:rPr>
          <w:rFonts w:ascii="仿宋_GB2312" w:eastAsia="仿宋_GB2312" w:hAnsi="Arial" w:cs="Arial" w:hint="eastAsia"/>
          <w:strike/>
          <w:color w:val="000000"/>
          <w:kern w:val="0"/>
          <w:sz w:val="30"/>
          <w:szCs w:val="30"/>
        </w:rPr>
        <w:t>                                        </w:t>
      </w:r>
    </w:p>
    <w:p w:rsidR="00767EA8" w:rsidRPr="00767EA8" w:rsidRDefault="00767EA8" w:rsidP="00767EA8">
      <w:pPr>
        <w:widowControl/>
        <w:snapToGrid w:val="0"/>
        <w:ind w:firstLine="336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该合约的净持仓量（重量单位）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上式中铜、铝、锌、铅、镍、锡、螺纹钢、线材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、天然橡胶、燃料油和石油沥青的重量单位为吨，白银的重量单位为千克，黄金的重量单位为克。</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该合约净持仓盈亏的总和，是指在客户该合约的历史成交库中从当日向前找出累计符合当日净持仓数的开仓合约的实际成交价与当日结算价之差的总和。</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（三）持仓盈利</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平仓范围的确定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根据上述方法计算的</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单位净持仓盈利的投机头寸以及客户单位净持仓盈利大于或等于D3交易日结算价6%（天然橡胶、燃料油和石油沥青为8%）的保值头寸都列入平仓范围。</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（四）平仓数量的分配原则及方法</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1、平仓数量的分配原则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（1）在平仓范围内按盈利的大小和投机与保值的不同分成四级，逐级进行分配。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首先分配给属平仓范围内单位净持仓盈利大于或等于D3交易日结算价6%（天然橡胶、燃料油和石油沥青为8%）的投机头寸（以下铜、铝、锌、铅、镍、锡、螺纹钢、线材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、黄金、白银简称盈利6%以上的投机头寸，天然橡胶、燃料油和石油沥青简称盈利8%以上的投机头寸）；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其次分配给单位净持仓盈利大于或等于D3交易日结算价3%（天然橡胶、燃料油和石油沥青为4%），小于6%（天然橡胶、燃料油和石油沥青为8%）的投机头寸（以下铜、铝、锌、铅、</w:t>
      </w:r>
      <w:bookmarkStart w:id="1" w:name="OLE_LINK363"/>
      <w:r w:rsidRPr="00767EA8">
        <w:rPr>
          <w:rFonts w:ascii="仿宋_GB2312" w:eastAsia="仿宋_GB2312" w:hAnsi="Arial" w:cs="Arial" w:hint="eastAsia"/>
          <w:color w:val="000000"/>
          <w:kern w:val="0"/>
          <w:sz w:val="30"/>
          <w:szCs w:val="30"/>
        </w:rPr>
        <w:t>镍、锡、</w:t>
      </w:r>
      <w:bookmarkEnd w:id="1"/>
      <w:r w:rsidRPr="00767EA8">
        <w:rPr>
          <w:rFonts w:ascii="仿宋_GB2312" w:eastAsia="仿宋_GB2312" w:hAnsi="Arial" w:cs="Arial" w:hint="eastAsia"/>
          <w:color w:val="000000"/>
          <w:kern w:val="0"/>
          <w:sz w:val="30"/>
          <w:szCs w:val="30"/>
        </w:rPr>
        <w:t>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、黄金、白银简称盈利3%以上的投机头寸，天然橡胶、燃料油和石油沥青简称盈利4%以上的投机头寸）；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再次分配给单位净持仓盈利小于D3交易日结算价3%（天然橡胶、燃料油和石油沥青为4%）的投机头寸（以下铜、铝、锌、铅、镍、锡、螺纹钢、线材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、黄金、白银简称盈利3%以下的投机头寸，天然橡胶、燃料油和石油沥青简称盈利4%以下的投机头寸）；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最后分配给单位净持仓盈利大于或等于D3交易日结算价6%（天然橡胶、燃料油和石油沥青为8%）的保值头寸（以下铜、铝、锌、铅、镍、锡、螺纹钢、线材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、黄金、白银简称盈利6%以上的保值头寸，天然橡胶、燃料油和石油沥青简称盈利8%以上的保值头寸）。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（2）以上各级分配比例均按申报平仓数量（剩余申报平仓数量）与各级可平仓的盈利头寸数量之比进行分配。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2、平仓数量的分配方法及步骤（见附件）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（1）铜、铝、锌、铅、镍、锡、螺纹钢、线材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、黄金、白银品种平仓数量的分配方法及步骤</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若盈利6%以上的投机头寸数量大于或等于申报平仓数量，则根据申报平仓数量与盈利6%以上的投机头寸数量的比例，将申报平仓数量向盈利6%以上的投机</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分配</w:t>
      </w:r>
      <w:proofErr w:type="gramStart"/>
      <w:r w:rsidRPr="00767EA8">
        <w:rPr>
          <w:rFonts w:ascii="仿宋_GB2312" w:eastAsia="仿宋_GB2312" w:hAnsi="Arial" w:cs="Arial" w:hint="eastAsia"/>
          <w:color w:val="000000"/>
          <w:kern w:val="0"/>
          <w:sz w:val="30"/>
          <w:szCs w:val="30"/>
        </w:rPr>
        <w:t>实际平仓</w:t>
      </w:r>
      <w:proofErr w:type="gramEnd"/>
      <w:r w:rsidRPr="00767EA8">
        <w:rPr>
          <w:rFonts w:ascii="仿宋_GB2312" w:eastAsia="仿宋_GB2312" w:hAnsi="Arial" w:cs="Arial" w:hint="eastAsia"/>
          <w:color w:val="000000"/>
          <w:kern w:val="0"/>
          <w:sz w:val="30"/>
          <w:szCs w:val="30"/>
        </w:rPr>
        <w:t>数量；</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若盈利6%以上的投机头寸数量小于申报平仓数量，则根据盈利6%以上的投机头寸数量与申报平仓数量的比例，将盈利6%以上投机头寸数量向申报平仓</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分配</w:t>
      </w:r>
      <w:proofErr w:type="gramStart"/>
      <w:r w:rsidRPr="00767EA8">
        <w:rPr>
          <w:rFonts w:ascii="仿宋_GB2312" w:eastAsia="仿宋_GB2312" w:hAnsi="Arial" w:cs="Arial" w:hint="eastAsia"/>
          <w:color w:val="000000"/>
          <w:kern w:val="0"/>
          <w:sz w:val="30"/>
          <w:szCs w:val="30"/>
        </w:rPr>
        <w:t>实际平仓</w:t>
      </w:r>
      <w:proofErr w:type="gramEnd"/>
      <w:r w:rsidRPr="00767EA8">
        <w:rPr>
          <w:rFonts w:ascii="仿宋_GB2312" w:eastAsia="仿宋_GB2312" w:hAnsi="Arial" w:cs="Arial" w:hint="eastAsia"/>
          <w:color w:val="000000"/>
          <w:kern w:val="0"/>
          <w:sz w:val="30"/>
          <w:szCs w:val="30"/>
        </w:rPr>
        <w:t>数量。再把剩余的申报平仓数量按上述的分配方法向盈利3%以上的投机头寸分配；若还有剩余，则再向盈利3%以下的投机头寸分配；若还有剩余，则再向盈利6%以上的保值头寸分配。若还有剩余则</w:t>
      </w:r>
      <w:proofErr w:type="gramStart"/>
      <w:r w:rsidRPr="00767EA8">
        <w:rPr>
          <w:rFonts w:ascii="仿宋_GB2312" w:eastAsia="仿宋_GB2312" w:hAnsi="Arial" w:cs="Arial" w:hint="eastAsia"/>
          <w:color w:val="000000"/>
          <w:kern w:val="0"/>
          <w:sz w:val="30"/>
          <w:szCs w:val="30"/>
        </w:rPr>
        <w:t>不</w:t>
      </w:r>
      <w:proofErr w:type="gramEnd"/>
      <w:r w:rsidRPr="00767EA8">
        <w:rPr>
          <w:rFonts w:ascii="仿宋_GB2312" w:eastAsia="仿宋_GB2312" w:hAnsi="Arial" w:cs="Arial" w:hint="eastAsia"/>
          <w:color w:val="000000"/>
          <w:kern w:val="0"/>
          <w:sz w:val="30"/>
          <w:szCs w:val="30"/>
        </w:rPr>
        <w:t>再分配。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（2）天然橡胶、燃料油和石油沥青品种平仓数量的分配方法及步骤</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若盈利8%以上的投机头寸数量大于或等于申报平仓数量，则根据申报平仓数量与盈利8%以上的投机头寸数量的比例，将申报平仓数量向盈利8%以上的投机</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分配</w:t>
      </w:r>
      <w:proofErr w:type="gramStart"/>
      <w:r w:rsidRPr="00767EA8">
        <w:rPr>
          <w:rFonts w:ascii="仿宋_GB2312" w:eastAsia="仿宋_GB2312" w:hAnsi="Arial" w:cs="Arial" w:hint="eastAsia"/>
          <w:color w:val="000000"/>
          <w:kern w:val="0"/>
          <w:sz w:val="30"/>
          <w:szCs w:val="30"/>
        </w:rPr>
        <w:t>实际平仓</w:t>
      </w:r>
      <w:proofErr w:type="gramEnd"/>
      <w:r w:rsidRPr="00767EA8">
        <w:rPr>
          <w:rFonts w:ascii="仿宋_GB2312" w:eastAsia="仿宋_GB2312" w:hAnsi="Arial" w:cs="Arial" w:hint="eastAsia"/>
          <w:color w:val="000000"/>
          <w:kern w:val="0"/>
          <w:sz w:val="30"/>
          <w:szCs w:val="30"/>
        </w:rPr>
        <w:t>数量；</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若盈利8%以上的投机头寸数量小于申报平仓数量，则根据盈利8%以上的投机头寸数量与申报平仓数量的比例，将盈利8%以上投机头寸数量向申报平仓</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分配</w:t>
      </w:r>
      <w:proofErr w:type="gramStart"/>
      <w:r w:rsidRPr="00767EA8">
        <w:rPr>
          <w:rFonts w:ascii="仿宋_GB2312" w:eastAsia="仿宋_GB2312" w:hAnsi="Arial" w:cs="Arial" w:hint="eastAsia"/>
          <w:color w:val="000000"/>
          <w:kern w:val="0"/>
          <w:sz w:val="30"/>
          <w:szCs w:val="30"/>
        </w:rPr>
        <w:t>实际平仓</w:t>
      </w:r>
      <w:proofErr w:type="gramEnd"/>
      <w:r w:rsidRPr="00767EA8">
        <w:rPr>
          <w:rFonts w:ascii="仿宋_GB2312" w:eastAsia="仿宋_GB2312" w:hAnsi="Arial" w:cs="Arial" w:hint="eastAsia"/>
          <w:color w:val="000000"/>
          <w:kern w:val="0"/>
          <w:sz w:val="30"/>
          <w:szCs w:val="30"/>
        </w:rPr>
        <w:t>数量。再把剩余的</w:t>
      </w:r>
      <w:r w:rsidRPr="00767EA8">
        <w:rPr>
          <w:rFonts w:ascii="仿宋_GB2312" w:eastAsia="仿宋_GB2312" w:hAnsi="Arial" w:cs="Arial" w:hint="eastAsia"/>
          <w:color w:val="000000"/>
          <w:kern w:val="0"/>
          <w:sz w:val="30"/>
          <w:szCs w:val="30"/>
        </w:rPr>
        <w:lastRenderedPageBreak/>
        <w:t>申报平仓数量按上述的分配方法向盈利4%以上的投机头寸分配；若还有剩余，则再向盈利4%以下的投机头寸分配；若还有剩余，则再向盈利8%以上的保值头寸分配。若还有剩余则</w:t>
      </w:r>
      <w:proofErr w:type="gramStart"/>
      <w:r w:rsidRPr="00767EA8">
        <w:rPr>
          <w:rFonts w:ascii="仿宋_GB2312" w:eastAsia="仿宋_GB2312" w:hAnsi="Arial" w:cs="Arial" w:hint="eastAsia"/>
          <w:color w:val="000000"/>
          <w:kern w:val="0"/>
          <w:sz w:val="30"/>
          <w:szCs w:val="30"/>
        </w:rPr>
        <w:t>不</w:t>
      </w:r>
      <w:proofErr w:type="gramEnd"/>
      <w:r w:rsidRPr="00767EA8">
        <w:rPr>
          <w:rFonts w:ascii="仿宋_GB2312" w:eastAsia="仿宋_GB2312" w:hAnsi="Arial" w:cs="Arial" w:hint="eastAsia"/>
          <w:color w:val="000000"/>
          <w:kern w:val="0"/>
          <w:sz w:val="30"/>
          <w:szCs w:val="30"/>
        </w:rPr>
        <w:t>再分配。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（五）平仓数量尾数的处理方法</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首先对每个</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编码所分配到的平仓数量的整数部分分配后再按照小数部分由大到小的顺序进行排序，然后按照该排序的顺序进行分配，每个</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编码1手；对于小数部分相同的客户，如果分配数量不足，则随机进行分配。</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采取措施二之后，</w:t>
      </w:r>
      <w:proofErr w:type="gramStart"/>
      <w:r w:rsidRPr="00767EA8">
        <w:rPr>
          <w:rFonts w:ascii="仿宋_GB2312" w:eastAsia="仿宋_GB2312" w:hAnsi="Arial" w:cs="Arial" w:hint="eastAsia"/>
          <w:color w:val="000000"/>
          <w:kern w:val="0"/>
          <w:sz w:val="30"/>
          <w:szCs w:val="30"/>
        </w:rPr>
        <w:t>若风险</w:t>
      </w:r>
      <w:proofErr w:type="gramEnd"/>
      <w:r w:rsidRPr="00767EA8">
        <w:rPr>
          <w:rFonts w:ascii="仿宋_GB2312" w:eastAsia="仿宋_GB2312" w:hAnsi="Arial" w:cs="Arial" w:hint="eastAsia"/>
          <w:color w:val="000000"/>
          <w:kern w:val="0"/>
          <w:sz w:val="30"/>
          <w:szCs w:val="30"/>
        </w:rPr>
        <w:t>化解，则下一个交易日的涨跌停板和交易保证金比例均恢复正常水平；若还未化解风险，交易所则宣布为异常情况，并按有关规定采取风险控制措施。</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因采取措施二平仓造成的经济损失由会员及其</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承担。</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第四章 限仓制度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第十五条 交易所实行限仓制度。限仓是指交易所规定的会员或者客户对某一合约单边持仓的最大数量。</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进行套期保值交易的持仓按照交易所有关规定执行，不受本条前款限制。</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第十六条 限仓实行以下基本制度：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xml:space="preserve">（一）根据不同期货品种的具体情况，分别确定每一品种每一月份合约的限仓数额；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 xml:space="preserve">（二）某一月份合约在其交易过程中的不同阶段，分别适用不同的限仓数额，进入交割月份的合约限仓数额从严控制；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（三）采用限制会员持仓和限制</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持仓相结合的办法，控制市场风险； 其中，铅、镍、锡、黄金、天然橡胶、燃料油、石油沥青、白银</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 xml:space="preserve">品种期货公司会员实行比例限仓，非期货公司会员和客户实行数额限仓；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（四）套期保值交易头寸实行审批制度。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第十七条 同一</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在不同期货公司会员处开有多个交易编码，各交易编码上所有持</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寸的合计数，不得超出一个客户的限仓数额。</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交割月前第一月的最后一个交易日收盘前，各会员、各客户在每个会员处铜、铝、锌、铅期货合约的投机持仓应当调整为5手的整倍数（</w:t>
      </w:r>
      <w:proofErr w:type="gramStart"/>
      <w:r w:rsidRPr="00767EA8">
        <w:rPr>
          <w:rFonts w:ascii="仿宋_GB2312" w:eastAsia="仿宋_GB2312" w:hAnsi="Arial" w:cs="Arial" w:hint="eastAsia"/>
          <w:color w:val="000000"/>
          <w:kern w:val="0"/>
          <w:sz w:val="30"/>
          <w:szCs w:val="30"/>
        </w:rPr>
        <w:t>遇市场</w:t>
      </w:r>
      <w:proofErr w:type="gramEnd"/>
      <w:r w:rsidRPr="00767EA8">
        <w:rPr>
          <w:rFonts w:ascii="仿宋_GB2312" w:eastAsia="仿宋_GB2312" w:hAnsi="Arial" w:cs="Arial" w:hint="eastAsia"/>
          <w:color w:val="000000"/>
          <w:kern w:val="0"/>
          <w:sz w:val="30"/>
          <w:szCs w:val="30"/>
        </w:rPr>
        <w:t>特殊情况无法按期调整的，可以顺延一天）； 进入交割月后，铜、铝、锌、铅合约投机持仓应当是5手的整倍数，新开、平仓也应当是5手的整倍数。</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交割月前第一月的最后一个交易日收盘前，各会员、各客户在每个</w:t>
      </w:r>
      <w:proofErr w:type="gramStart"/>
      <w:r w:rsidRPr="00767EA8">
        <w:rPr>
          <w:rFonts w:ascii="仿宋_GB2312" w:eastAsia="仿宋_GB2312" w:hAnsi="Arial" w:cs="Arial" w:hint="eastAsia"/>
          <w:color w:val="000000"/>
          <w:kern w:val="0"/>
          <w:sz w:val="30"/>
          <w:szCs w:val="30"/>
        </w:rPr>
        <w:t>会员处镍期货</w:t>
      </w:r>
      <w:proofErr w:type="gramEnd"/>
      <w:r w:rsidRPr="00767EA8">
        <w:rPr>
          <w:rFonts w:ascii="仿宋_GB2312" w:eastAsia="仿宋_GB2312" w:hAnsi="Arial" w:cs="Arial" w:hint="eastAsia"/>
          <w:color w:val="000000"/>
          <w:kern w:val="0"/>
          <w:sz w:val="30"/>
          <w:szCs w:val="30"/>
        </w:rPr>
        <w:t>合约的投机持仓应当调整为6手的整倍数（</w:t>
      </w:r>
      <w:proofErr w:type="gramStart"/>
      <w:r w:rsidRPr="00767EA8">
        <w:rPr>
          <w:rFonts w:ascii="仿宋_GB2312" w:eastAsia="仿宋_GB2312" w:hAnsi="Arial" w:cs="Arial" w:hint="eastAsia"/>
          <w:color w:val="000000"/>
          <w:kern w:val="0"/>
          <w:sz w:val="30"/>
          <w:szCs w:val="30"/>
        </w:rPr>
        <w:t>遇市场</w:t>
      </w:r>
      <w:proofErr w:type="gramEnd"/>
      <w:r w:rsidRPr="00767EA8">
        <w:rPr>
          <w:rFonts w:ascii="仿宋_GB2312" w:eastAsia="仿宋_GB2312" w:hAnsi="Arial" w:cs="Arial" w:hint="eastAsia"/>
          <w:color w:val="000000"/>
          <w:kern w:val="0"/>
          <w:sz w:val="30"/>
          <w:szCs w:val="30"/>
        </w:rPr>
        <w:t>特殊情况无法按期调整的，可以顺延一天）； 进入交割月后，镍期货合约投机持仓应当是6手的整倍数，新开、平仓也应当是6手的整倍数。</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交割月前第一月的最后一个交易日收盘前，各会员、各客户在每个会员处螺纹钢、线材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期货合约的投机持仓应当</w:t>
      </w:r>
      <w:r w:rsidRPr="00767EA8">
        <w:rPr>
          <w:rFonts w:ascii="仿宋_GB2312" w:eastAsia="仿宋_GB2312" w:hAnsi="Arial" w:cs="Arial" w:hint="eastAsia"/>
          <w:color w:val="000000"/>
          <w:kern w:val="0"/>
          <w:sz w:val="30"/>
          <w:szCs w:val="30"/>
        </w:rPr>
        <w:lastRenderedPageBreak/>
        <w:t>调整为30手的整倍数（</w:t>
      </w:r>
      <w:proofErr w:type="gramStart"/>
      <w:r w:rsidRPr="00767EA8">
        <w:rPr>
          <w:rFonts w:ascii="仿宋_GB2312" w:eastAsia="仿宋_GB2312" w:hAnsi="Arial" w:cs="Arial" w:hint="eastAsia"/>
          <w:color w:val="000000"/>
          <w:kern w:val="0"/>
          <w:sz w:val="30"/>
          <w:szCs w:val="30"/>
        </w:rPr>
        <w:t>遇市场</w:t>
      </w:r>
      <w:proofErr w:type="gramEnd"/>
      <w:r w:rsidRPr="00767EA8">
        <w:rPr>
          <w:rFonts w:ascii="仿宋_GB2312" w:eastAsia="仿宋_GB2312" w:hAnsi="Arial" w:cs="Arial" w:hint="eastAsia"/>
          <w:color w:val="000000"/>
          <w:kern w:val="0"/>
          <w:sz w:val="30"/>
          <w:szCs w:val="30"/>
        </w:rPr>
        <w:t>特殊情况无法按期调整的，可以顺延一天）；进入交割月后，螺纹钢、线材</w:t>
      </w:r>
      <w:r w:rsidRPr="00767EA8">
        <w:rPr>
          <w:rFonts w:ascii="仿宋_GB2312" w:eastAsia="仿宋_GB2312" w:hAnsi="Arial" w:cs="Arial" w:hint="eastAsia"/>
          <w:kern w:val="0"/>
          <w:sz w:val="30"/>
          <w:szCs w:val="30"/>
        </w:rPr>
        <w:t>、热轧卷板</w:t>
      </w:r>
      <w:r w:rsidRPr="00767EA8">
        <w:rPr>
          <w:rFonts w:ascii="仿宋_GB2312" w:eastAsia="仿宋_GB2312" w:hAnsi="Arial" w:cs="Arial" w:hint="eastAsia"/>
          <w:color w:val="000000"/>
          <w:kern w:val="0"/>
          <w:sz w:val="30"/>
          <w:szCs w:val="30"/>
        </w:rPr>
        <w:t>合约投机持仓应当是30手的整倍数，新开、平仓也应当是30手的整倍数。</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最后一个交易日收盘前，各会员、各客户在每个会员处黄金期货合约的投机持仓应当调整为3手的整倍数。进入交割月后，黄金期货合约投机持仓应当是3手的整倍数，新开仓、平仓也应当是3手的整倍数。</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割月前第一月的最后一个交易日收盘前，各会员、各客户在每个会员处锡、白银期货合约的投机持仓应当调整为2手的整倍数。进入交割月后，锡、白银期货合约投机持仓应当是2手的整倍数，新开仓、平仓也应当是2手的整倍数。</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相关品种期货合约套期保值交易头寸整倍数相关规定参见上海期货交易所套期保值交易管理相关规定。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xml:space="preserve">第十八条 </w:t>
      </w:r>
      <w:r w:rsidRPr="00767EA8">
        <w:rPr>
          <w:rFonts w:ascii="仿宋_GB2312" w:eastAsia="仿宋_GB2312" w:hAnsi="Arial" w:cs="Arial" w:hint="eastAsia"/>
          <w:kern w:val="0"/>
          <w:sz w:val="30"/>
          <w:szCs w:val="30"/>
        </w:rPr>
        <w:t>期货公司</w:t>
      </w:r>
      <w:r w:rsidRPr="00767EA8">
        <w:rPr>
          <w:rFonts w:ascii="仿宋_GB2312" w:eastAsia="仿宋_GB2312" w:hAnsi="Arial" w:cs="Arial" w:hint="eastAsia"/>
          <w:color w:val="000000"/>
          <w:kern w:val="0"/>
          <w:sz w:val="30"/>
          <w:szCs w:val="30"/>
        </w:rPr>
        <w:t>会员、非</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和客户的各品种期货合约在不同时期的限仓比例和持仓限额具体规定如下：</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20"/>
          <w:kern w:val="0"/>
          <w:sz w:val="30"/>
          <w:szCs w:val="30"/>
        </w:rPr>
        <w:t>表二十八</w:t>
      </w:r>
      <w:r w:rsidRPr="00767EA8">
        <w:rPr>
          <w:rFonts w:ascii="仿宋_GB2312" w:eastAsia="仿宋_GB2312" w:hAnsi="Arial" w:cs="Arial" w:hint="eastAsia"/>
          <w:b/>
          <w:bCs/>
          <w:color w:val="000000"/>
          <w:spacing w:val="-20"/>
          <w:kern w:val="0"/>
          <w:sz w:val="30"/>
          <w:szCs w:val="30"/>
          <w:shd w:val="clear" w:color="auto" w:fill="FFFFFF"/>
        </w:rPr>
        <w:t> </w:t>
      </w:r>
      <w:r w:rsidRPr="00767EA8">
        <w:rPr>
          <w:rFonts w:ascii="仿宋_GB2312" w:eastAsia="仿宋_GB2312" w:hAnsi="Arial" w:cs="Arial" w:hint="eastAsia"/>
          <w:b/>
          <w:bCs/>
          <w:color w:val="000000"/>
          <w:spacing w:val="-20"/>
          <w:kern w:val="0"/>
          <w:sz w:val="30"/>
          <w:szCs w:val="30"/>
        </w:rPr>
        <w:t>铜、铝、锌、螺纹钢、线材期货合约在不同时期的限仓比例和持仓限额规定</w:t>
      </w:r>
    </w:p>
    <w:p w:rsidR="00767EA8" w:rsidRPr="00767EA8" w:rsidRDefault="00767EA8" w:rsidP="00767EA8">
      <w:pPr>
        <w:widowControl/>
        <w:jc w:val="righ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（单位：手）</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noProof/>
          <w:kern w:val="0"/>
          <w:sz w:val="30"/>
          <w:szCs w:val="30"/>
        </w:rPr>
        <w:lastRenderedPageBreak/>
        <w:drawing>
          <wp:inline distT="0" distB="0" distL="0" distR="0" wp14:anchorId="3373B4F1" wp14:editId="78F1631B">
            <wp:extent cx="5372100" cy="2524125"/>
            <wp:effectExtent l="0" t="0" r="0" b="9525"/>
            <wp:docPr id="3" name="图片 3" descr="http://www.shfe.com.cn/upload/20150617/14345114255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hfe.com.cn/upload/20150617/143451142553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2100" cy="2524125"/>
                    </a:xfrm>
                    <a:prstGeom prst="rect">
                      <a:avLst/>
                    </a:prstGeom>
                    <a:noFill/>
                    <a:ln>
                      <a:noFill/>
                    </a:ln>
                  </pic:spPr>
                </pic:pic>
              </a:graphicData>
            </a:graphic>
          </wp:inline>
        </w:drawing>
      </w:r>
    </w:p>
    <w:p w:rsidR="00767EA8" w:rsidRPr="00767EA8" w:rsidRDefault="00767EA8" w:rsidP="00767EA8">
      <w:pPr>
        <w:widowControl/>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注：表中某一期货合约持仓量为双向计算，期货公司会员、非期货公司会员、客户的持仓限额为单向计算；期货公司会员的持仓限额为基数。</w:t>
      </w:r>
    </w:p>
    <w:p w:rsidR="00767EA8" w:rsidRPr="00767EA8" w:rsidRDefault="00767EA8" w:rsidP="00767EA8">
      <w:pPr>
        <w:widowControl/>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20"/>
          <w:kern w:val="0"/>
          <w:sz w:val="30"/>
          <w:szCs w:val="30"/>
        </w:rPr>
        <w:t>表二十九 燃料油期货合约在不同时期的限仓比例和持仓限额规定</w:t>
      </w:r>
    </w:p>
    <w:p w:rsidR="00767EA8" w:rsidRPr="00767EA8" w:rsidRDefault="00767EA8" w:rsidP="00767EA8">
      <w:pPr>
        <w:widowControl/>
        <w:ind w:firstLine="3780"/>
        <w:jc w:val="righ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（单位：手）</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noProof/>
          <w:kern w:val="0"/>
          <w:sz w:val="30"/>
          <w:szCs w:val="30"/>
        </w:rPr>
        <w:drawing>
          <wp:inline distT="0" distB="0" distL="0" distR="0" wp14:anchorId="5F73EFAE" wp14:editId="7DBEBD33">
            <wp:extent cx="5638800" cy="1781175"/>
            <wp:effectExtent l="0" t="0" r="0" b="9525"/>
            <wp:docPr id="4" name="图片 4" descr="http://www.shfe.com.cn/upload/20150618/14346073468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hfe.com.cn/upload/20150618/143460734686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800" cy="1781175"/>
                    </a:xfrm>
                    <a:prstGeom prst="rect">
                      <a:avLst/>
                    </a:prstGeom>
                    <a:noFill/>
                    <a:ln>
                      <a:noFill/>
                    </a:ln>
                  </pic:spPr>
                </pic:pic>
              </a:graphicData>
            </a:graphic>
          </wp:inline>
        </w:drawing>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ind w:firstLine="420"/>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注：表中某一期货合约持仓量为双向计算，</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、非期货公司会员、客户的持仓限额为单向计算；期货公司会员的持仓限额为基数。</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lastRenderedPageBreak/>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20"/>
          <w:kern w:val="0"/>
          <w:sz w:val="30"/>
          <w:szCs w:val="30"/>
        </w:rPr>
        <w:t>表三十</w:t>
      </w:r>
      <w:r w:rsidRPr="00767EA8">
        <w:rPr>
          <w:rFonts w:ascii="仿宋_GB2312" w:eastAsia="仿宋_GB2312" w:hAnsi="Arial" w:cs="Arial" w:hint="eastAsia"/>
          <w:b/>
          <w:bCs/>
          <w:color w:val="000000"/>
          <w:spacing w:val="-20"/>
          <w:kern w:val="0"/>
          <w:sz w:val="30"/>
          <w:szCs w:val="30"/>
        </w:rPr>
        <w:t> </w:t>
      </w:r>
      <w:r w:rsidRPr="00767EA8">
        <w:rPr>
          <w:rFonts w:ascii="仿宋_GB2312" w:eastAsia="仿宋_GB2312" w:hAnsi="Arial" w:cs="Arial" w:hint="eastAsia"/>
          <w:b/>
          <w:bCs/>
          <w:color w:val="000000"/>
          <w:spacing w:val="-20"/>
          <w:kern w:val="0"/>
          <w:sz w:val="30"/>
          <w:szCs w:val="30"/>
        </w:rPr>
        <w:t>铅、镍、锡、天然橡胶、石油沥青、黄金、白银、热轧卷板期货合约在不同时期的限仓比例和持仓限额规定</w:t>
      </w:r>
    </w:p>
    <w:p w:rsidR="00767EA8" w:rsidRPr="00767EA8" w:rsidRDefault="00767EA8" w:rsidP="00767EA8">
      <w:pPr>
        <w:widowControl/>
        <w:ind w:firstLine="3780"/>
        <w:jc w:val="righ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（单位：手）</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noProof/>
          <w:kern w:val="0"/>
          <w:sz w:val="30"/>
          <w:szCs w:val="30"/>
        </w:rPr>
        <w:drawing>
          <wp:inline distT="0" distB="0" distL="0" distR="0" wp14:anchorId="196D4950" wp14:editId="10A2383D">
            <wp:extent cx="5667375" cy="4800600"/>
            <wp:effectExtent l="0" t="0" r="9525" b="0"/>
            <wp:docPr id="5" name="图片 5" descr="http://www.shfe.com.cn/upload/20150618/1434607372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hfe.com.cn/upload/20150618/14346073728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4800600"/>
                    </a:xfrm>
                    <a:prstGeom prst="rect">
                      <a:avLst/>
                    </a:prstGeom>
                    <a:noFill/>
                    <a:ln>
                      <a:noFill/>
                    </a:ln>
                  </pic:spPr>
                </pic:pic>
              </a:graphicData>
            </a:graphic>
          </wp:inline>
        </w:drawing>
      </w:r>
      <w:r w:rsidRPr="00767EA8">
        <w:rPr>
          <w:rFonts w:ascii="仿宋_GB2312" w:eastAsia="仿宋_GB2312" w:hAnsi="Arial" w:cs="Arial" w:hint="eastAsia"/>
          <w:kern w:val="0"/>
          <w:sz w:val="30"/>
          <w:szCs w:val="30"/>
        </w:rPr>
        <w:t> </w:t>
      </w:r>
    </w:p>
    <w:p w:rsidR="00767EA8" w:rsidRPr="00767EA8" w:rsidRDefault="00767EA8" w:rsidP="00767EA8">
      <w:pPr>
        <w:widowControl/>
        <w:ind w:firstLine="420"/>
        <w:jc w:val="center"/>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注：表中某一期货合约持仓量为双向计算，</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、非期货公司会员、客户的持仓限额为单向计算；期货公司会员的持仓限额为基数。</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第十九条 交易所可以根据</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的净资产和经营情况调整其持仓限额。</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持仓限额=基数×（1+信用系数+业务系数）</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基数: 是</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持仓限额的最低水平，由交易所规定（见第十八条表二十八、表二十九、表三十）。</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信用系数: 以</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净资产3000万元为底数（此时信用系数为0），在此基础上，每增加500万元净资产，则信用系数相应增加0.1，信用系数最大值不得超过2。</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业务系数:</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业务系数暂定为五档。以年交易金额80亿元为底数（此时业务系数为0），在此基础上，期货公司会员年交易金额达到规定水平，则相应提高其业务系数。业务系数的最大值不得超过1（见表三十一）。</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spacing w:val="-20"/>
          <w:kern w:val="0"/>
          <w:sz w:val="30"/>
          <w:szCs w:val="30"/>
        </w:rPr>
        <w:t>表三十一</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jc w:val="center"/>
        <w:rPr>
          <w:rFonts w:ascii="仿宋_GB2312" w:eastAsia="仿宋_GB2312" w:hAnsi="Arial" w:cs="Arial" w:hint="eastAsia"/>
          <w:kern w:val="0"/>
          <w:sz w:val="30"/>
          <w:szCs w:val="30"/>
        </w:rPr>
      </w:pPr>
      <w:r w:rsidRPr="00767EA8">
        <w:rPr>
          <w:rFonts w:ascii="仿宋_GB2312" w:eastAsia="仿宋_GB2312" w:hAnsi="Arial" w:cs="Arial" w:hint="eastAsia"/>
          <w:noProof/>
          <w:kern w:val="0"/>
          <w:sz w:val="30"/>
          <w:szCs w:val="30"/>
        </w:rPr>
        <w:drawing>
          <wp:inline distT="0" distB="0" distL="0" distR="0" wp14:anchorId="3A543C26" wp14:editId="4C945C4A">
            <wp:extent cx="5476875" cy="2114550"/>
            <wp:effectExtent l="0" t="0" r="9525" b="0"/>
            <wp:docPr id="6" name="图片 6" descr="http://www.shfe.com.cn/upload/20150618/14346074145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fe.com.cn/upload/20150618/143460741457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6875" cy="2114550"/>
                    </a:xfrm>
                    <a:prstGeom prst="rect">
                      <a:avLst/>
                    </a:prstGeom>
                    <a:noFill/>
                    <a:ln>
                      <a:noFill/>
                    </a:ln>
                  </pic:spPr>
                </pic:pic>
              </a:graphicData>
            </a:graphic>
          </wp:inline>
        </w:drawing>
      </w: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 xml:space="preserve">第二十条 </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的持仓限额，由交易所每一年核定一次。</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应当在当年3月15日前向交易所提供上一年度期末净资产金额的证明文件（会计师事务所审计报告）。交易所统计上年1月1日至12月31日期货公司会员的交易量，核定持仓限额后于当年3月20日前通知期货公司会员，并予公布； 该持仓限额适用于其当年3月21日起至次年3月20日</w:t>
      </w:r>
      <w:proofErr w:type="gramStart"/>
      <w:r w:rsidRPr="00767EA8">
        <w:rPr>
          <w:rFonts w:ascii="仿宋_GB2312" w:eastAsia="仿宋_GB2312" w:hAnsi="Arial" w:cs="Arial" w:hint="eastAsia"/>
          <w:color w:val="000000"/>
          <w:kern w:val="0"/>
          <w:sz w:val="30"/>
          <w:szCs w:val="30"/>
        </w:rPr>
        <w:t>止</w:t>
      </w:r>
      <w:proofErr w:type="gramEnd"/>
      <w:r w:rsidRPr="00767EA8">
        <w:rPr>
          <w:rFonts w:ascii="仿宋_GB2312" w:eastAsia="仿宋_GB2312" w:hAnsi="Arial" w:cs="Arial" w:hint="eastAsia"/>
          <w:color w:val="000000"/>
          <w:kern w:val="0"/>
          <w:sz w:val="30"/>
          <w:szCs w:val="30"/>
        </w:rPr>
        <w:t>期间（含起、止日）的各品种期货合约的交易。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第二十一条 到期未提供证明文件、统计材料或所提供证明文件、统计材料无效的，则均以基数水平论。</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第二十二条 交易所调整持仓限额应当经理事会批准，报告中国证监会后实施。</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第二十三条 会员或客户的持仓数量不得超过交易所规定的持仓限额。对超过持仓限额的会员或客户，交易所可以按有关规定执行强行平仓。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一个客户在不同期货公司会员处开有多个交易编码，其持仓量合计超出持仓限额的，交易所可以指定有关期货公司会员对该客户超额持仓执行强行平仓。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第二十四条 期货</w:t>
      </w:r>
      <w:r w:rsidRPr="00767EA8">
        <w:rPr>
          <w:rFonts w:ascii="仿宋_GB2312" w:eastAsia="仿宋_GB2312" w:hAnsi="Arial" w:cs="Arial" w:hint="eastAsia"/>
          <w:color w:val="000000"/>
          <w:kern w:val="0"/>
          <w:sz w:val="30"/>
          <w:szCs w:val="30"/>
        </w:rPr>
        <w:t>公司</w:t>
      </w:r>
      <w:r w:rsidRPr="00767EA8">
        <w:rPr>
          <w:rFonts w:ascii="仿宋_GB2312" w:eastAsia="仿宋_GB2312" w:hAnsi="Arial" w:cs="Arial" w:hint="eastAsia"/>
          <w:kern w:val="0"/>
          <w:sz w:val="30"/>
          <w:szCs w:val="30"/>
        </w:rPr>
        <w:t>会员名下全部客户持仓之和超过该会员的持仓限额的，期货公司会员原则上应当按合计数与限仓数之差除以合计数所得比例，由该会员监督其有关客户在规定的时间</w:t>
      </w:r>
      <w:r w:rsidRPr="00767EA8">
        <w:rPr>
          <w:rFonts w:ascii="仿宋_GB2312" w:eastAsia="仿宋_GB2312" w:hAnsi="Arial" w:cs="Arial" w:hint="eastAsia"/>
          <w:kern w:val="0"/>
          <w:sz w:val="30"/>
          <w:szCs w:val="30"/>
        </w:rPr>
        <w:lastRenderedPageBreak/>
        <w:t>内完成减仓；应当减仓而未减仓的，交易所可以按有关规定执行强行平仓。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第五章 大户报告制度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第二十五条 交易所实行大户报告制度。当会员或者客户某品种持仓合约的投机头寸达到交易所对其规定的投机头寸持仓限额80%以上（含本数）或者交易所要求报告的，会员或客户应当向交易所报告其资金情况、头寸情况，客户应当通过期货公司会员报告。交易所可以根据市场风险状况，制定并调整持仓报告标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第二十六条 会员和客户的持仓，达到交易所报告界限的，会员和客户应当主动于下一交易日15:00时前向交易所报告。如需再次报告或补充报告，交易所将通知有关会员。</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第二十七条 达到交易所报告界限的期货公司会员应当向交易所提供下列材料：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（一）填写完整的《期货公司会员大户报告表》，内容包括会员名称、会员号、合约代码、现有持仓、持仓保证金、可动用资金、持仓客户数量、预报交割数量、申请交割数量；</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（二）资金来源说明；</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（三）其持仓量前五名</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的名称、交易编码、持仓量、开户资料及当日结算单据；</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（四）交易所要求提供的其他材料。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第二十八条 达到交易所报告界限的非</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 xml:space="preserve">应当向交易所提供下列材料: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（一）填写完整的《非</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 xml:space="preserve">大户报告表》，内容包括会员名称、会员号、合约代码、现有持仓、持仓性质、持仓保证金、可动用资金、持仓意向、预报交割数量、申请交割数量；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（二）资金来源说明；</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（三）交易所要求提供的其他材料。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第二十九条 达到交易所报告界限的</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 xml:space="preserve">应当提供下列材料: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（一）填写完整的《</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 xml:space="preserve">大户报告表》，内容包括会员名称、会员号、客户名称和编码、合约代码、现有持仓、持仓性质、持仓保证金、可动用资金、持仓意向、预报交割数量、申请交割数量等；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（二）资金来源说明；</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（三）开户材料及当日结算单据；</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（四）交易所要求提供的其他材料。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xml:space="preserve">第三十条 </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应当对达到交易所报告界限的客户所提供的有关材料进行初审，然后转交交易所。</w:t>
      </w:r>
      <w:r w:rsidRPr="00767EA8">
        <w:rPr>
          <w:rFonts w:ascii="仿宋_GB2312" w:eastAsia="仿宋_GB2312" w:hAnsi="Arial" w:cs="Arial" w:hint="eastAsia"/>
          <w:kern w:val="0"/>
          <w:sz w:val="30"/>
          <w:szCs w:val="30"/>
        </w:rPr>
        <w:t>期货公司会员</w:t>
      </w:r>
      <w:r w:rsidRPr="00767EA8">
        <w:rPr>
          <w:rFonts w:ascii="仿宋_GB2312" w:eastAsia="仿宋_GB2312" w:hAnsi="Arial" w:cs="Arial" w:hint="eastAsia"/>
          <w:color w:val="000000"/>
          <w:kern w:val="0"/>
          <w:sz w:val="30"/>
          <w:szCs w:val="30"/>
        </w:rPr>
        <w:t>应当保证客户所提供的材料的真实性。</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第三十一条 交易所可以不定期地对会员或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提供的材料进行核查。</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 xml:space="preserve">第三十二条 </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在不同期货公司会员处开有多个交易编码，各交易编码持有头寸数额合计达到报告界限，由交易所指定并通知有关期货公司会员，负责报送该客户应当报告情况的有关材料。</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第六章 强行平仓制度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第三十三条 为控制市场风险，交易所实行强行平仓制度。强行平仓是指当会员、</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违规时，交易所对其有关持仓实行平仓的一种强制措施。</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第三十四条 当会员、</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出现下列情况之一时，交易所对其持仓实行强行平仓: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xml:space="preserve">（一）会员结算准备金余额小于零，并未能在规定时限内补足的；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（二）持仓量超出其限仓规定的；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（三）相关品种持仓没有在规定时间内按要求调整为相应整倍数的；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（四）因违规受到交易所强行平仓处罚的；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（五）根据交易所的紧急措施应当予以强行平仓的；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（六）其他应当予以强行平仓的。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第三十五条 强行平仓的执行原则</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强行平仓先由会员自己执行，时限除交易所特别规定外，一律为开市后第一节交易时间内。若时限内会员未执行完毕，则由</w:t>
      </w:r>
      <w:r w:rsidRPr="00767EA8">
        <w:rPr>
          <w:rFonts w:ascii="仿宋_GB2312" w:eastAsia="仿宋_GB2312" w:hAnsi="Arial" w:cs="Arial" w:hint="eastAsia"/>
          <w:color w:val="000000"/>
          <w:kern w:val="0"/>
          <w:sz w:val="30"/>
          <w:szCs w:val="30"/>
        </w:rPr>
        <w:lastRenderedPageBreak/>
        <w:t>交易所强制执行。因结算准备金小于零而被要求强行平仓的，在保证金补足前，禁止相关会员的开仓交易。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（一）由会员单位执行的强行平</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寸的确定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1、属第三十四条第（一）项、第（二）项的强行平仓，其需要强行平</w:t>
      </w:r>
      <w:proofErr w:type="gramStart"/>
      <w:r w:rsidRPr="00767EA8">
        <w:rPr>
          <w:rFonts w:ascii="仿宋_GB2312" w:eastAsia="仿宋_GB2312" w:hAnsi="Arial" w:cs="Arial" w:hint="eastAsia"/>
          <w:color w:val="000000"/>
          <w:kern w:val="0"/>
          <w:sz w:val="30"/>
          <w:szCs w:val="30"/>
        </w:rPr>
        <w:t>仓头寸由会员</w:t>
      </w:r>
      <w:proofErr w:type="gramEnd"/>
      <w:r w:rsidRPr="00767EA8">
        <w:rPr>
          <w:rFonts w:ascii="仿宋_GB2312" w:eastAsia="仿宋_GB2312" w:hAnsi="Arial" w:cs="Arial" w:hint="eastAsia"/>
          <w:color w:val="000000"/>
          <w:kern w:val="0"/>
          <w:sz w:val="30"/>
          <w:szCs w:val="30"/>
        </w:rPr>
        <w:t>单位自行确定，只要强行平仓结果符合交易所规则即可。</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2、属第三十四条第（三）项、第（四）项、第（五）项、第（六）项的强行平仓，其需要强行平</w:t>
      </w:r>
      <w:proofErr w:type="gramStart"/>
      <w:r w:rsidRPr="00767EA8">
        <w:rPr>
          <w:rFonts w:ascii="仿宋_GB2312" w:eastAsia="仿宋_GB2312" w:hAnsi="Arial" w:cs="Arial" w:hint="eastAsia"/>
          <w:color w:val="000000"/>
          <w:kern w:val="0"/>
          <w:sz w:val="30"/>
          <w:szCs w:val="30"/>
        </w:rPr>
        <w:t>仓头寸由交易所</w:t>
      </w:r>
      <w:proofErr w:type="gramEnd"/>
      <w:r w:rsidRPr="00767EA8">
        <w:rPr>
          <w:rFonts w:ascii="仿宋_GB2312" w:eastAsia="仿宋_GB2312" w:hAnsi="Arial" w:cs="Arial" w:hint="eastAsia"/>
          <w:color w:val="000000"/>
          <w:kern w:val="0"/>
          <w:sz w:val="30"/>
          <w:szCs w:val="30"/>
        </w:rPr>
        <w:t>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（二）由交易所执行的强行平</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寸的确定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1、属第三十四条第（一）项的强行平仓: 其需要强行平仓的头寸由交易所按先投机、后套期保值的原则；并按上一交易日闭市后合约总持仓量由大到小顺序，先选择持仓量大的合约作为强行平仓的合约； 再按该会员所有</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该合约的净持仓亏损由大到小确定。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若多个会员需要强行平仓的，按追加保证金由大到小的顺序，先</w:t>
      </w:r>
      <w:proofErr w:type="gramStart"/>
      <w:r w:rsidRPr="00767EA8">
        <w:rPr>
          <w:rFonts w:ascii="仿宋_GB2312" w:eastAsia="仿宋_GB2312" w:hAnsi="Arial" w:cs="Arial" w:hint="eastAsia"/>
          <w:color w:val="000000"/>
          <w:kern w:val="0"/>
          <w:sz w:val="30"/>
          <w:szCs w:val="30"/>
        </w:rPr>
        <w:t>平需要</w:t>
      </w:r>
      <w:proofErr w:type="gramEnd"/>
      <w:r w:rsidRPr="00767EA8">
        <w:rPr>
          <w:rFonts w:ascii="仿宋_GB2312" w:eastAsia="仿宋_GB2312" w:hAnsi="Arial" w:cs="Arial" w:hint="eastAsia"/>
          <w:color w:val="000000"/>
          <w:kern w:val="0"/>
          <w:sz w:val="30"/>
          <w:szCs w:val="30"/>
        </w:rPr>
        <w:t>追加保证金大的会员。</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2、属第三十四条第（二）项的强行平仓: 若系一个</w:t>
      </w:r>
      <w:proofErr w:type="gramStart"/>
      <w:r w:rsidRPr="00767EA8">
        <w:rPr>
          <w:rFonts w:ascii="仿宋_GB2312" w:eastAsia="仿宋_GB2312" w:hAnsi="Arial" w:cs="Arial" w:hint="eastAsia"/>
          <w:color w:val="000000"/>
          <w:kern w:val="0"/>
          <w:sz w:val="30"/>
          <w:szCs w:val="30"/>
        </w:rPr>
        <w:t>会员超仓，其需</w:t>
      </w:r>
      <w:proofErr w:type="gramEnd"/>
      <w:r w:rsidRPr="00767EA8">
        <w:rPr>
          <w:rFonts w:ascii="仿宋_GB2312" w:eastAsia="仿宋_GB2312" w:hAnsi="Arial" w:cs="Arial" w:hint="eastAsia"/>
          <w:color w:val="000000"/>
          <w:kern w:val="0"/>
          <w:sz w:val="30"/>
          <w:szCs w:val="30"/>
        </w:rPr>
        <w:t>强行平</w:t>
      </w:r>
      <w:proofErr w:type="gramStart"/>
      <w:r w:rsidRPr="00767EA8">
        <w:rPr>
          <w:rFonts w:ascii="仿宋_GB2312" w:eastAsia="仿宋_GB2312" w:hAnsi="Arial" w:cs="Arial" w:hint="eastAsia"/>
          <w:color w:val="000000"/>
          <w:kern w:val="0"/>
          <w:sz w:val="30"/>
          <w:szCs w:val="30"/>
        </w:rPr>
        <w:t>仓头寸由交易所</w:t>
      </w:r>
      <w:proofErr w:type="gramEnd"/>
      <w:r w:rsidRPr="00767EA8">
        <w:rPr>
          <w:rFonts w:ascii="仿宋_GB2312" w:eastAsia="仿宋_GB2312" w:hAnsi="Arial" w:cs="Arial" w:hint="eastAsia"/>
          <w:color w:val="000000"/>
          <w:kern w:val="0"/>
          <w:sz w:val="30"/>
          <w:szCs w:val="30"/>
        </w:rPr>
        <w:t>按</w:t>
      </w:r>
      <w:proofErr w:type="gramStart"/>
      <w:r w:rsidRPr="00767EA8">
        <w:rPr>
          <w:rFonts w:ascii="仿宋_GB2312" w:eastAsia="仿宋_GB2312" w:hAnsi="Arial" w:cs="Arial" w:hint="eastAsia"/>
          <w:color w:val="000000"/>
          <w:kern w:val="0"/>
          <w:sz w:val="30"/>
          <w:szCs w:val="30"/>
        </w:rPr>
        <w:t>会员超仓数量</w:t>
      </w:r>
      <w:proofErr w:type="gramEnd"/>
      <w:r w:rsidRPr="00767EA8">
        <w:rPr>
          <w:rFonts w:ascii="仿宋_GB2312" w:eastAsia="仿宋_GB2312" w:hAnsi="Arial" w:cs="Arial" w:hint="eastAsia"/>
          <w:color w:val="000000"/>
          <w:kern w:val="0"/>
          <w:sz w:val="30"/>
          <w:szCs w:val="30"/>
        </w:rPr>
        <w:t>与会员投机持仓数量的比例确定有关</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的平仓数量； 若系多个</w:t>
      </w:r>
      <w:proofErr w:type="gramStart"/>
      <w:r w:rsidRPr="00767EA8">
        <w:rPr>
          <w:rFonts w:ascii="仿宋_GB2312" w:eastAsia="仿宋_GB2312" w:hAnsi="Arial" w:cs="Arial" w:hint="eastAsia"/>
          <w:color w:val="000000"/>
          <w:kern w:val="0"/>
          <w:sz w:val="30"/>
          <w:szCs w:val="30"/>
        </w:rPr>
        <w:t>会员超仓，其需</w:t>
      </w:r>
      <w:proofErr w:type="gramEnd"/>
      <w:r w:rsidRPr="00767EA8">
        <w:rPr>
          <w:rFonts w:ascii="仿宋_GB2312" w:eastAsia="仿宋_GB2312" w:hAnsi="Arial" w:cs="Arial" w:hint="eastAsia"/>
          <w:color w:val="000000"/>
          <w:kern w:val="0"/>
          <w:sz w:val="30"/>
          <w:szCs w:val="30"/>
        </w:rPr>
        <w:t>强行平</w:t>
      </w:r>
      <w:proofErr w:type="gramStart"/>
      <w:r w:rsidRPr="00767EA8">
        <w:rPr>
          <w:rFonts w:ascii="仿宋_GB2312" w:eastAsia="仿宋_GB2312" w:hAnsi="Arial" w:cs="Arial" w:hint="eastAsia"/>
          <w:color w:val="000000"/>
          <w:kern w:val="0"/>
          <w:sz w:val="30"/>
          <w:szCs w:val="30"/>
        </w:rPr>
        <w:t>仓头寸按会员超仓数量</w:t>
      </w:r>
      <w:proofErr w:type="gramEnd"/>
      <w:r w:rsidRPr="00767EA8">
        <w:rPr>
          <w:rFonts w:ascii="仿宋_GB2312" w:eastAsia="仿宋_GB2312" w:hAnsi="Arial" w:cs="Arial" w:hint="eastAsia"/>
          <w:color w:val="000000"/>
          <w:kern w:val="0"/>
          <w:sz w:val="30"/>
          <w:szCs w:val="30"/>
        </w:rPr>
        <w:t>由大到小顺序，先选择</w:t>
      </w:r>
      <w:proofErr w:type="gramStart"/>
      <w:r w:rsidRPr="00767EA8">
        <w:rPr>
          <w:rFonts w:ascii="仿宋_GB2312" w:eastAsia="仿宋_GB2312" w:hAnsi="Arial" w:cs="Arial" w:hint="eastAsia"/>
          <w:color w:val="000000"/>
          <w:kern w:val="0"/>
          <w:sz w:val="30"/>
          <w:szCs w:val="30"/>
        </w:rPr>
        <w:t>超仓数量</w:t>
      </w:r>
      <w:proofErr w:type="gramEnd"/>
      <w:r w:rsidRPr="00767EA8">
        <w:rPr>
          <w:rFonts w:ascii="仿宋_GB2312" w:eastAsia="仿宋_GB2312" w:hAnsi="Arial" w:cs="Arial" w:hint="eastAsia"/>
          <w:color w:val="000000"/>
          <w:kern w:val="0"/>
          <w:sz w:val="30"/>
          <w:szCs w:val="30"/>
        </w:rPr>
        <w:t>大的会员作为强行平仓的对象；若</w:t>
      </w:r>
      <w:proofErr w:type="gramStart"/>
      <w:r w:rsidRPr="00767EA8">
        <w:rPr>
          <w:rFonts w:ascii="仿宋_GB2312" w:eastAsia="仿宋_GB2312" w:hAnsi="Arial" w:cs="Arial" w:hint="eastAsia"/>
          <w:color w:val="000000"/>
          <w:kern w:val="0"/>
          <w:sz w:val="30"/>
          <w:szCs w:val="30"/>
        </w:rPr>
        <w:t>系客户</w:t>
      </w:r>
      <w:proofErr w:type="gramEnd"/>
      <w:r w:rsidRPr="00767EA8">
        <w:rPr>
          <w:rFonts w:ascii="仿宋_GB2312" w:eastAsia="仿宋_GB2312" w:hAnsi="Arial" w:cs="Arial" w:hint="eastAsia"/>
          <w:color w:val="000000"/>
          <w:kern w:val="0"/>
          <w:sz w:val="30"/>
          <w:szCs w:val="30"/>
        </w:rPr>
        <w:t>超仓，则对该客户的超</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寸进行强行平仓。若系会员和客户同时超仓，则先</w:t>
      </w:r>
      <w:proofErr w:type="gramStart"/>
      <w:r w:rsidRPr="00767EA8">
        <w:rPr>
          <w:rFonts w:ascii="仿宋_GB2312" w:eastAsia="仿宋_GB2312" w:hAnsi="Arial" w:cs="Arial" w:hint="eastAsia"/>
          <w:color w:val="000000"/>
          <w:kern w:val="0"/>
          <w:sz w:val="30"/>
          <w:szCs w:val="30"/>
        </w:rPr>
        <w:t>对超仓的</w:t>
      </w:r>
      <w:proofErr w:type="gramEnd"/>
      <w:r w:rsidRPr="00767EA8">
        <w:rPr>
          <w:rFonts w:ascii="仿宋_GB2312" w:eastAsia="仿宋_GB2312" w:hAnsi="Arial" w:cs="Arial" w:hint="eastAsia"/>
          <w:color w:val="000000"/>
          <w:kern w:val="0"/>
          <w:sz w:val="30"/>
          <w:szCs w:val="30"/>
        </w:rPr>
        <w:t>客</w:t>
      </w:r>
      <w:r w:rsidRPr="00767EA8">
        <w:rPr>
          <w:rFonts w:ascii="仿宋_GB2312" w:eastAsia="仿宋_GB2312" w:hAnsi="Arial" w:cs="Arial" w:hint="eastAsia"/>
          <w:color w:val="000000"/>
          <w:kern w:val="0"/>
          <w:sz w:val="30"/>
          <w:szCs w:val="30"/>
        </w:rPr>
        <w:lastRenderedPageBreak/>
        <w:t>户进行平仓，再按</w:t>
      </w:r>
      <w:proofErr w:type="gramStart"/>
      <w:r w:rsidRPr="00767EA8">
        <w:rPr>
          <w:rFonts w:ascii="仿宋_GB2312" w:eastAsia="仿宋_GB2312" w:hAnsi="Arial" w:cs="Arial" w:hint="eastAsia"/>
          <w:color w:val="000000"/>
          <w:kern w:val="0"/>
          <w:sz w:val="30"/>
          <w:szCs w:val="30"/>
        </w:rPr>
        <w:t>会员超仓</w:t>
      </w:r>
      <w:proofErr w:type="gramEnd"/>
      <w:r w:rsidRPr="00767EA8">
        <w:rPr>
          <w:rFonts w:ascii="仿宋_GB2312" w:eastAsia="仿宋_GB2312" w:hAnsi="Arial" w:cs="Arial" w:hint="eastAsia"/>
          <w:color w:val="000000"/>
          <w:kern w:val="0"/>
          <w:sz w:val="30"/>
          <w:szCs w:val="30"/>
        </w:rPr>
        <w:t>的方法平仓。但铅、镍、锡、黄金、天然橡胶、燃料油、白银、石油沥青、热轧卷板期货</w:t>
      </w:r>
      <w:proofErr w:type="gramStart"/>
      <w:r w:rsidRPr="00767EA8">
        <w:rPr>
          <w:rFonts w:ascii="仿宋_GB2312" w:eastAsia="仿宋_GB2312" w:hAnsi="Arial" w:cs="Arial" w:hint="eastAsia"/>
          <w:color w:val="000000"/>
          <w:kern w:val="0"/>
          <w:sz w:val="30"/>
          <w:szCs w:val="30"/>
        </w:rPr>
        <w:t>合约超仓相关</w:t>
      </w:r>
      <w:proofErr w:type="gramEnd"/>
      <w:r w:rsidRPr="00767EA8">
        <w:rPr>
          <w:rFonts w:ascii="仿宋_GB2312" w:eastAsia="仿宋_GB2312" w:hAnsi="Arial" w:cs="Arial" w:hint="eastAsia"/>
          <w:color w:val="000000"/>
          <w:kern w:val="0"/>
          <w:sz w:val="30"/>
          <w:szCs w:val="30"/>
        </w:rPr>
        <w:t>要求本部分另有规定的，从其规定。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属第三十四条第（二）项铅、</w:t>
      </w:r>
      <w:bookmarkStart w:id="2" w:name="OLE_LINK368"/>
      <w:r w:rsidRPr="00767EA8">
        <w:rPr>
          <w:rFonts w:ascii="仿宋_GB2312" w:eastAsia="仿宋_GB2312" w:hAnsi="Arial" w:cs="Arial" w:hint="eastAsia"/>
          <w:color w:val="333333"/>
          <w:kern w:val="0"/>
          <w:sz w:val="30"/>
          <w:szCs w:val="30"/>
        </w:rPr>
        <w:t>镍、锡、</w:t>
      </w:r>
      <w:bookmarkEnd w:id="2"/>
      <w:r w:rsidRPr="00767EA8">
        <w:rPr>
          <w:rFonts w:ascii="仿宋_GB2312" w:eastAsia="仿宋_GB2312" w:hAnsi="Arial" w:cs="Arial" w:hint="eastAsia"/>
          <w:color w:val="000000"/>
          <w:kern w:val="0"/>
          <w:sz w:val="30"/>
          <w:szCs w:val="30"/>
        </w:rPr>
        <w:t>黄金、天然橡胶、燃料油、白银、石油沥青、热轧卷板期货合约的强行平仓: 若系客户（或非期货公司会员）超仓，则对该客户（或非期货公司会员）的超</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寸进行强行平仓；若系期货公司会员达到或者超过持仓限额的，不得同方向开仓交易。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3、属第三十四条第（三）项、第（四）项、第（五）项、第（六）项的强行平仓，强行平</w:t>
      </w:r>
      <w:proofErr w:type="gramStart"/>
      <w:r w:rsidRPr="00767EA8">
        <w:rPr>
          <w:rFonts w:ascii="仿宋_GB2312" w:eastAsia="仿宋_GB2312" w:hAnsi="Arial" w:cs="Arial" w:hint="eastAsia"/>
          <w:color w:val="000000"/>
          <w:kern w:val="0"/>
          <w:sz w:val="30"/>
          <w:szCs w:val="30"/>
        </w:rPr>
        <w:t>仓头寸由交易所</w:t>
      </w:r>
      <w:proofErr w:type="gramEnd"/>
      <w:r w:rsidRPr="00767EA8">
        <w:rPr>
          <w:rFonts w:ascii="仿宋_GB2312" w:eastAsia="仿宋_GB2312" w:hAnsi="Arial" w:cs="Arial" w:hint="eastAsia"/>
          <w:color w:val="000000"/>
          <w:kern w:val="0"/>
          <w:sz w:val="30"/>
          <w:szCs w:val="30"/>
        </w:rPr>
        <w:t>根据涉及的会员和</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具体情况确定。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若会员同时满足第三十四条第（一）项、第（二）项情况，交易所先按第（二）项情况确定强行平</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寸，再按第（一）项情况确定强行平</w:t>
      </w:r>
      <w:proofErr w:type="gramStart"/>
      <w:r w:rsidRPr="00767EA8">
        <w:rPr>
          <w:rFonts w:ascii="仿宋_GB2312" w:eastAsia="仿宋_GB2312" w:hAnsi="Arial" w:cs="Arial" w:hint="eastAsia"/>
          <w:color w:val="000000"/>
          <w:kern w:val="0"/>
          <w:sz w:val="30"/>
          <w:szCs w:val="30"/>
        </w:rPr>
        <w:t>仓头</w:t>
      </w:r>
      <w:proofErr w:type="gramEnd"/>
      <w:r w:rsidRPr="00767EA8">
        <w:rPr>
          <w:rFonts w:ascii="仿宋_GB2312" w:eastAsia="仿宋_GB2312" w:hAnsi="Arial" w:cs="Arial" w:hint="eastAsia"/>
          <w:color w:val="000000"/>
          <w:kern w:val="0"/>
          <w:sz w:val="30"/>
          <w:szCs w:val="30"/>
        </w:rPr>
        <w:t>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第三十六条 强行平仓的执行</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（一）通知。交易所以“强行平仓通知书”（以下简称通知书）的形式向有关会员下达强行平仓要求。通知书除交易所特别送达以外，随当日结算数据发送，有关会员可以通过会员服务系统获得。</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（二）执行及确认。</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1、开市后，有关会员应当首先自行平仓，直至达到平仓要求。执行结果由交易所审核；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会员有本办法第三十四条第（三）项情形的，交易所可以直接执行强行平仓；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xml:space="preserve">2、超过会员自行强行平仓时限而未执行完毕的，剩余部分由交易所直接执行强行平仓；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 xml:space="preserve">3、强行平仓执行完毕后，由交易所记录执行结果存档；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4、强行平仓结果随当日成交记录发送，有关会员可以通过会员服务系统获得。</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第三十七条 强行平仓的价格通过市场交易形成。</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第三十八条 因受价格涨跌停板限制或其他市场原因制约而无法在规定时限内完成全部强行平仓的，其剩余持</w:t>
      </w:r>
      <w:proofErr w:type="gramStart"/>
      <w:r w:rsidRPr="00767EA8">
        <w:rPr>
          <w:rFonts w:ascii="仿宋_GB2312" w:eastAsia="仿宋_GB2312" w:hAnsi="Arial" w:cs="Arial" w:hint="eastAsia"/>
          <w:color w:val="000000"/>
          <w:kern w:val="0"/>
          <w:sz w:val="30"/>
          <w:szCs w:val="30"/>
        </w:rPr>
        <w:t>仓头寸</w:t>
      </w:r>
      <w:proofErr w:type="gramEnd"/>
      <w:r w:rsidRPr="00767EA8">
        <w:rPr>
          <w:rFonts w:ascii="仿宋_GB2312" w:eastAsia="仿宋_GB2312" w:hAnsi="Arial" w:cs="Arial" w:hint="eastAsia"/>
          <w:color w:val="000000"/>
          <w:kern w:val="0"/>
          <w:sz w:val="30"/>
          <w:szCs w:val="30"/>
        </w:rPr>
        <w:t>可以顺延至下一交易日继续平仓，仍按第三十五条原则执行，直至平仓完毕。</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第三十九条 如因价格涨跌停板或其他市场原因而无法在当日完成全部强行平仓的，交易所根据结算结果，对该会员</w:t>
      </w:r>
      <w:proofErr w:type="gramStart"/>
      <w:r w:rsidRPr="00767EA8">
        <w:rPr>
          <w:rFonts w:ascii="仿宋_GB2312" w:eastAsia="仿宋_GB2312" w:hAnsi="Arial" w:cs="Arial" w:hint="eastAsia"/>
          <w:color w:val="000000"/>
          <w:kern w:val="0"/>
          <w:sz w:val="30"/>
          <w:szCs w:val="30"/>
        </w:rPr>
        <w:t>作出</w:t>
      </w:r>
      <w:proofErr w:type="gramEnd"/>
      <w:r w:rsidRPr="00767EA8">
        <w:rPr>
          <w:rFonts w:ascii="仿宋_GB2312" w:eastAsia="仿宋_GB2312" w:hAnsi="Arial" w:cs="Arial" w:hint="eastAsia"/>
          <w:color w:val="000000"/>
          <w:kern w:val="0"/>
          <w:sz w:val="30"/>
          <w:szCs w:val="30"/>
        </w:rPr>
        <w:t>相应的处理。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第四十条 由于价格涨跌停板限制或其他市场原因，有关持仓的强行平仓只能延时完成的，而因此发生的亏损，仍由直接责任人承担；未能完成平仓的，该持仓持有者应当继续对此承担持仓责任或交割义务。</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第四十一条 由会员单位执行的强行平仓产生的盈利仍归直接责任人；由交易所执行的强行平仓产生的盈利按国家有关规定执行；因强行平仓发生的亏损由直接责任人承担。</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直接责任人是</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的，强行平仓后发生的亏损，由该客户开户所在期货公司会员先行承担后，自行向该客户追索。</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第七章 风险警示制度</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第四十二条 交易所实行风险警示制度。当交易所认为必要时，可以分别或同时采取要求报告情况、谈话提醒、书面警示、公开谴责、发布风险警示公告等措施中的一种或多种，以警示和化解风险。</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第四十三条 出现下列情形之一的，交易所可以约见指定的会员高管人员或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谈话提醒风险，或要求会员或客户报告情况:</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（一）期货价格出现异常；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（二）会员或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交易异常；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（三）会员或客户持仓异常；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（四）会员资金异常；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（五）会员或客户涉嫌违规、违约；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（六）交易所接到投诉涉及到会员或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（七）会员涉及司法调查；</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（八）交易所认定的其他情况。</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交易所实施谈话提醒应当遵守下列要求:</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（一）交易所发出书面通知，约见指定的会员高管人员或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谈话。客户应当由会员指定人员陪同；</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（二）交易所安排谈话提醒时，应当将谈话时间、地点、要求等以书面形式提前一天通知会员；</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（三）谈话对象确因特殊情况不能参加的，应当事先报告交易所，经交易所同意后可以书面委托有关人员代理；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（四）谈话对象应当如实陈述、不得故意隐瞒事实；</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（五）交易所工作人员应当对谈话的有关信息予以保密。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交易所要求会员或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报告情况的，有关报告方式和报告内容参照大户报告制度。</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第四十四条 通过情况报告和谈话，发现会员或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有违规嫌疑、交易头寸有较大风险的，交易所可以对会员或客户发出书面的“风险警示函”。</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第四十五条 发生下列情形之一的，交易所可以在指定的有关媒体上对有关会员和</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进行公开谴责:</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（一）不按交易所要求报告情况或者谈话的；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（二）故意隐瞒事实，瞒报、错报、漏报重要信息的；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（三）故意销毁违规违约证明材料, 不配合中国证监会或者交易所调查的；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（四）经查实存在欺诈</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行为的；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（五）经查实参与分</w:t>
      </w:r>
      <w:proofErr w:type="gramStart"/>
      <w:r w:rsidRPr="00767EA8">
        <w:rPr>
          <w:rFonts w:ascii="仿宋_GB2312" w:eastAsia="仿宋_GB2312" w:hAnsi="Arial" w:cs="Arial" w:hint="eastAsia"/>
          <w:color w:val="000000"/>
          <w:kern w:val="0"/>
          <w:sz w:val="30"/>
          <w:szCs w:val="30"/>
        </w:rPr>
        <w:t>仓或者</w:t>
      </w:r>
      <w:proofErr w:type="gramEnd"/>
      <w:r w:rsidRPr="00767EA8">
        <w:rPr>
          <w:rFonts w:ascii="仿宋_GB2312" w:eastAsia="仿宋_GB2312" w:hAnsi="Arial" w:cs="Arial" w:hint="eastAsia"/>
          <w:color w:val="000000"/>
          <w:kern w:val="0"/>
          <w:sz w:val="30"/>
          <w:szCs w:val="30"/>
        </w:rPr>
        <w:t>操纵市场的；</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（六）交易所认定的其他违规行为。</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交易所对相关会员或</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进行公开谴责的同时，对其违规行为，按《上海期货交易所违规处理办法》有关规定处理。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lastRenderedPageBreak/>
        <w:t>第四十六条 发生下列情形之一的，交易所可以发出风险警示公告，向全体会员和</w:t>
      </w:r>
      <w:r w:rsidRPr="00767EA8">
        <w:rPr>
          <w:rFonts w:ascii="仿宋_GB2312" w:eastAsia="仿宋_GB2312" w:hAnsi="Arial" w:cs="Arial" w:hint="eastAsia"/>
          <w:kern w:val="0"/>
          <w:sz w:val="30"/>
          <w:szCs w:val="30"/>
        </w:rPr>
        <w:t>客户</w:t>
      </w:r>
      <w:r w:rsidRPr="00767EA8">
        <w:rPr>
          <w:rFonts w:ascii="仿宋_GB2312" w:eastAsia="仿宋_GB2312" w:hAnsi="Arial" w:cs="Arial" w:hint="eastAsia"/>
          <w:color w:val="000000"/>
          <w:kern w:val="0"/>
          <w:sz w:val="30"/>
          <w:szCs w:val="30"/>
        </w:rPr>
        <w:t>警示风险:</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（一）期货价格出现异常；</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（二）期货价格和现货价格出现较大差距；</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（三）国内期货价格和国际市场价格出现较大差距；</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（四）交易所认定的其他异常情况。</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jc w:val="center"/>
        <w:rPr>
          <w:rFonts w:ascii="仿宋_GB2312" w:eastAsia="仿宋_GB2312" w:hAnsi="Arial" w:cs="Arial" w:hint="eastAsia"/>
          <w:kern w:val="0"/>
          <w:sz w:val="30"/>
          <w:szCs w:val="30"/>
        </w:rPr>
      </w:pPr>
      <w:r w:rsidRPr="00767EA8">
        <w:rPr>
          <w:rFonts w:ascii="仿宋_GB2312" w:eastAsia="仿宋_GB2312" w:hAnsi="Arial" w:cs="Arial" w:hint="eastAsia"/>
          <w:b/>
          <w:bCs/>
          <w:color w:val="000000"/>
          <w:kern w:val="0"/>
          <w:sz w:val="30"/>
          <w:szCs w:val="30"/>
        </w:rPr>
        <w:t>第八章 附 则</w:t>
      </w:r>
    </w:p>
    <w:p w:rsidR="00767EA8" w:rsidRPr="00767EA8" w:rsidRDefault="00767EA8" w:rsidP="00767EA8">
      <w:pPr>
        <w:widowControl/>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 </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第四十七条 违反本办法规定的，交易所可以按本办法和《上海期货交易所违规处理办法》的有关规定处理。</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第四十八条</w:t>
      </w:r>
      <w:r w:rsidRPr="00767EA8">
        <w:rPr>
          <w:rFonts w:ascii="仿宋_GB2312" w:eastAsia="仿宋_GB2312" w:hAnsi="Arial" w:cs="Arial" w:hint="eastAsia"/>
          <w:color w:val="000000"/>
          <w:kern w:val="0"/>
          <w:sz w:val="30"/>
          <w:szCs w:val="30"/>
        </w:rPr>
        <w:t> </w:t>
      </w:r>
      <w:r w:rsidRPr="00767EA8">
        <w:rPr>
          <w:rFonts w:ascii="仿宋_GB2312" w:eastAsia="仿宋_GB2312" w:hAnsi="Arial" w:cs="Arial" w:hint="eastAsia"/>
          <w:color w:val="000000"/>
          <w:kern w:val="0"/>
          <w:sz w:val="30"/>
          <w:szCs w:val="30"/>
        </w:rPr>
        <w:t>除交易所另有规定外，本细则中涉及投机交易风险管理的规则，同等适用于非套期保值交易。</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第四十九条 有关连续交易相关的风险控制，上海期货交易所连续交易细则有特殊规定的，从其规定。</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color w:val="000000"/>
          <w:kern w:val="0"/>
          <w:sz w:val="30"/>
          <w:szCs w:val="30"/>
        </w:rPr>
        <w:t>第五十条 本办法解释权属于上海期货交易所。</w:t>
      </w:r>
    </w:p>
    <w:p w:rsidR="00767EA8" w:rsidRPr="00767EA8" w:rsidRDefault="00767EA8" w:rsidP="00767EA8">
      <w:pPr>
        <w:widowControl/>
        <w:spacing w:line="520" w:lineRule="atLeast"/>
        <w:ind w:firstLine="420"/>
        <w:jc w:val="left"/>
        <w:rPr>
          <w:rFonts w:ascii="仿宋_GB2312" w:eastAsia="仿宋_GB2312" w:hAnsi="Arial" w:cs="Arial" w:hint="eastAsia"/>
          <w:kern w:val="0"/>
          <w:sz w:val="30"/>
          <w:szCs w:val="30"/>
        </w:rPr>
      </w:pPr>
      <w:r w:rsidRPr="00767EA8">
        <w:rPr>
          <w:rFonts w:ascii="仿宋_GB2312" w:eastAsia="仿宋_GB2312" w:hAnsi="Arial" w:cs="Arial" w:hint="eastAsia"/>
          <w:kern w:val="0"/>
          <w:sz w:val="30"/>
          <w:szCs w:val="30"/>
        </w:rPr>
        <w:t>第五十一条 本办法自</w:t>
      </w:r>
      <w:bookmarkStart w:id="3" w:name="_GoBack"/>
      <w:r w:rsidRPr="00767EA8">
        <w:rPr>
          <w:rFonts w:ascii="仿宋_GB2312" w:eastAsia="仿宋_GB2312" w:hAnsi="Arial" w:cs="Arial" w:hint="eastAsia"/>
          <w:kern w:val="0"/>
          <w:sz w:val="30"/>
          <w:szCs w:val="30"/>
        </w:rPr>
        <w:t>2015年4月7日</w:t>
      </w:r>
      <w:bookmarkEnd w:id="3"/>
      <w:r w:rsidRPr="00767EA8">
        <w:rPr>
          <w:rFonts w:ascii="仿宋_GB2312" w:eastAsia="仿宋_GB2312" w:hAnsi="Arial" w:cs="Arial" w:hint="eastAsia"/>
          <w:kern w:val="0"/>
          <w:sz w:val="30"/>
          <w:szCs w:val="30"/>
        </w:rPr>
        <w:t>收盘结算时起施行。</w:t>
      </w:r>
    </w:p>
    <w:p w:rsidR="00767EA8" w:rsidRPr="00767EA8" w:rsidRDefault="00767EA8">
      <w:pPr>
        <w:rPr>
          <w:rFonts w:ascii="仿宋_GB2312" w:eastAsia="仿宋_GB2312" w:hint="eastAsia"/>
          <w:sz w:val="30"/>
          <w:szCs w:val="30"/>
        </w:rPr>
      </w:pPr>
    </w:p>
    <w:sectPr w:rsidR="00767EA8" w:rsidRPr="00767E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EA8"/>
    <w:rsid w:val="00767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7EA8"/>
    <w:rPr>
      <w:sz w:val="18"/>
      <w:szCs w:val="18"/>
    </w:rPr>
  </w:style>
  <w:style w:type="character" w:customStyle="1" w:styleId="Char">
    <w:name w:val="批注框文本 Char"/>
    <w:basedOn w:val="a0"/>
    <w:link w:val="a3"/>
    <w:uiPriority w:val="99"/>
    <w:semiHidden/>
    <w:rsid w:val="00767EA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7EA8"/>
    <w:rPr>
      <w:sz w:val="18"/>
      <w:szCs w:val="18"/>
    </w:rPr>
  </w:style>
  <w:style w:type="character" w:customStyle="1" w:styleId="Char">
    <w:name w:val="批注框文本 Char"/>
    <w:basedOn w:val="a0"/>
    <w:link w:val="a3"/>
    <w:uiPriority w:val="99"/>
    <w:semiHidden/>
    <w:rsid w:val="00767E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91928">
      <w:bodyDiv w:val="1"/>
      <w:marLeft w:val="0"/>
      <w:marRight w:val="0"/>
      <w:marTop w:val="0"/>
      <w:marBottom w:val="0"/>
      <w:divBdr>
        <w:top w:val="none" w:sz="0" w:space="0" w:color="auto"/>
        <w:left w:val="none" w:sz="0" w:space="0" w:color="auto"/>
        <w:bottom w:val="none" w:sz="0" w:space="0" w:color="auto"/>
        <w:right w:val="none" w:sz="0" w:space="0" w:color="auto"/>
      </w:divBdr>
      <w:divsChild>
        <w:div w:id="747115458">
          <w:marLeft w:val="0"/>
          <w:marRight w:val="0"/>
          <w:marTop w:val="0"/>
          <w:marBottom w:val="0"/>
          <w:divBdr>
            <w:top w:val="none" w:sz="0" w:space="0" w:color="auto"/>
            <w:left w:val="none" w:sz="0" w:space="0" w:color="auto"/>
            <w:bottom w:val="none" w:sz="0" w:space="0" w:color="auto"/>
            <w:right w:val="none" w:sz="0" w:space="0" w:color="auto"/>
          </w:divBdr>
          <w:divsChild>
            <w:div w:id="1408963273">
              <w:marLeft w:val="0"/>
              <w:marRight w:val="0"/>
              <w:marTop w:val="75"/>
              <w:marBottom w:val="0"/>
              <w:divBdr>
                <w:top w:val="none" w:sz="0" w:space="0" w:color="auto"/>
                <w:left w:val="none" w:sz="0" w:space="0" w:color="auto"/>
                <w:bottom w:val="none" w:sz="0" w:space="0" w:color="auto"/>
                <w:right w:val="none" w:sz="0" w:space="0" w:color="auto"/>
              </w:divBdr>
              <w:divsChild>
                <w:div w:id="369957001">
                  <w:marLeft w:val="0"/>
                  <w:marRight w:val="0"/>
                  <w:marTop w:val="0"/>
                  <w:marBottom w:val="0"/>
                  <w:divBdr>
                    <w:top w:val="none" w:sz="0" w:space="0" w:color="auto"/>
                    <w:left w:val="none" w:sz="0" w:space="0" w:color="auto"/>
                    <w:bottom w:val="none" w:sz="0" w:space="0" w:color="auto"/>
                    <w:right w:val="none" w:sz="0" w:space="0" w:color="auto"/>
                  </w:divBdr>
                  <w:divsChild>
                    <w:div w:id="418521264">
                      <w:marLeft w:val="0"/>
                      <w:marRight w:val="0"/>
                      <w:marTop w:val="0"/>
                      <w:marBottom w:val="0"/>
                      <w:divBdr>
                        <w:top w:val="none" w:sz="0" w:space="0" w:color="auto"/>
                        <w:left w:val="none" w:sz="0" w:space="0" w:color="auto"/>
                        <w:bottom w:val="none" w:sz="0" w:space="0" w:color="auto"/>
                        <w:right w:val="none" w:sz="0" w:space="0" w:color="auto"/>
                      </w:divBdr>
                      <w:divsChild>
                        <w:div w:id="341444259">
                          <w:marLeft w:val="0"/>
                          <w:marRight w:val="0"/>
                          <w:marTop w:val="0"/>
                          <w:marBottom w:val="0"/>
                          <w:divBdr>
                            <w:top w:val="none" w:sz="0" w:space="0" w:color="auto"/>
                            <w:left w:val="none" w:sz="0" w:space="0" w:color="auto"/>
                            <w:bottom w:val="none" w:sz="0" w:space="0" w:color="auto"/>
                            <w:right w:val="none" w:sz="0" w:space="0" w:color="auto"/>
                          </w:divBdr>
                          <w:divsChild>
                            <w:div w:id="492065734">
                              <w:marLeft w:val="0"/>
                              <w:marRight w:val="0"/>
                              <w:marTop w:val="0"/>
                              <w:marBottom w:val="0"/>
                              <w:divBdr>
                                <w:top w:val="none" w:sz="0" w:space="0" w:color="auto"/>
                                <w:left w:val="none" w:sz="0" w:space="0" w:color="auto"/>
                                <w:bottom w:val="none" w:sz="0" w:space="0" w:color="auto"/>
                                <w:right w:val="none" w:sz="0" w:space="0" w:color="auto"/>
                              </w:divBdr>
                            </w:div>
                            <w:div w:id="2106077155">
                              <w:marLeft w:val="0"/>
                              <w:marRight w:val="0"/>
                              <w:marTop w:val="0"/>
                              <w:marBottom w:val="0"/>
                              <w:divBdr>
                                <w:top w:val="none" w:sz="0" w:space="0" w:color="auto"/>
                                <w:left w:val="none" w:sz="0" w:space="0" w:color="auto"/>
                                <w:bottom w:val="none" w:sz="0" w:space="0" w:color="auto"/>
                                <w:right w:val="none" w:sz="0" w:space="0" w:color="auto"/>
                              </w:divBdr>
                            </w:div>
                            <w:div w:id="896938224">
                              <w:marLeft w:val="0"/>
                              <w:marRight w:val="0"/>
                              <w:marTop w:val="0"/>
                              <w:marBottom w:val="0"/>
                              <w:divBdr>
                                <w:top w:val="none" w:sz="0" w:space="0" w:color="auto"/>
                                <w:left w:val="none" w:sz="0" w:space="0" w:color="auto"/>
                                <w:bottom w:val="none" w:sz="0" w:space="0" w:color="auto"/>
                                <w:right w:val="none" w:sz="0" w:space="0" w:color="auto"/>
                              </w:divBdr>
                            </w:div>
                            <w:div w:id="38749087">
                              <w:marLeft w:val="0"/>
                              <w:marRight w:val="0"/>
                              <w:marTop w:val="0"/>
                              <w:marBottom w:val="0"/>
                              <w:divBdr>
                                <w:top w:val="none" w:sz="0" w:space="0" w:color="auto"/>
                                <w:left w:val="none" w:sz="0" w:space="0" w:color="auto"/>
                                <w:bottom w:val="none" w:sz="0" w:space="0" w:color="auto"/>
                                <w:right w:val="none" w:sz="0" w:space="0" w:color="auto"/>
                              </w:divBdr>
                            </w:div>
                            <w:div w:id="991644679">
                              <w:marLeft w:val="0"/>
                              <w:marRight w:val="0"/>
                              <w:marTop w:val="0"/>
                              <w:marBottom w:val="0"/>
                              <w:divBdr>
                                <w:top w:val="none" w:sz="0" w:space="0" w:color="auto"/>
                                <w:left w:val="none" w:sz="0" w:space="0" w:color="auto"/>
                                <w:bottom w:val="none" w:sz="0" w:space="0" w:color="auto"/>
                                <w:right w:val="none" w:sz="0" w:space="0" w:color="auto"/>
                              </w:divBdr>
                            </w:div>
                            <w:div w:id="1274824732">
                              <w:marLeft w:val="0"/>
                              <w:marRight w:val="0"/>
                              <w:marTop w:val="0"/>
                              <w:marBottom w:val="0"/>
                              <w:divBdr>
                                <w:top w:val="none" w:sz="0" w:space="0" w:color="auto"/>
                                <w:left w:val="none" w:sz="0" w:space="0" w:color="auto"/>
                                <w:bottom w:val="none" w:sz="0" w:space="0" w:color="auto"/>
                                <w:right w:val="none" w:sz="0" w:space="0" w:color="auto"/>
                              </w:divBdr>
                            </w:div>
                            <w:div w:id="2054960797">
                              <w:marLeft w:val="0"/>
                              <w:marRight w:val="0"/>
                              <w:marTop w:val="0"/>
                              <w:marBottom w:val="0"/>
                              <w:divBdr>
                                <w:top w:val="none" w:sz="0" w:space="0" w:color="auto"/>
                                <w:left w:val="none" w:sz="0" w:space="0" w:color="auto"/>
                                <w:bottom w:val="none" w:sz="0" w:space="0" w:color="auto"/>
                                <w:right w:val="none" w:sz="0" w:space="0" w:color="auto"/>
                              </w:divBdr>
                            </w:div>
                            <w:div w:id="1049036875">
                              <w:marLeft w:val="0"/>
                              <w:marRight w:val="0"/>
                              <w:marTop w:val="0"/>
                              <w:marBottom w:val="0"/>
                              <w:divBdr>
                                <w:top w:val="none" w:sz="0" w:space="0" w:color="auto"/>
                                <w:left w:val="none" w:sz="0" w:space="0" w:color="auto"/>
                                <w:bottom w:val="none" w:sz="0" w:space="0" w:color="auto"/>
                                <w:right w:val="none" w:sz="0" w:space="0" w:color="auto"/>
                              </w:divBdr>
                            </w:div>
                            <w:div w:id="786850025">
                              <w:marLeft w:val="0"/>
                              <w:marRight w:val="0"/>
                              <w:marTop w:val="0"/>
                              <w:marBottom w:val="0"/>
                              <w:divBdr>
                                <w:top w:val="none" w:sz="0" w:space="0" w:color="auto"/>
                                <w:left w:val="none" w:sz="0" w:space="0" w:color="auto"/>
                                <w:bottom w:val="none" w:sz="0" w:space="0" w:color="auto"/>
                                <w:right w:val="none" w:sz="0" w:space="0" w:color="auto"/>
                              </w:divBdr>
                            </w:div>
                            <w:div w:id="1772117349">
                              <w:marLeft w:val="0"/>
                              <w:marRight w:val="0"/>
                              <w:marTop w:val="0"/>
                              <w:marBottom w:val="0"/>
                              <w:divBdr>
                                <w:top w:val="none" w:sz="0" w:space="0" w:color="auto"/>
                                <w:left w:val="none" w:sz="0" w:space="0" w:color="auto"/>
                                <w:bottom w:val="none" w:sz="0" w:space="0" w:color="auto"/>
                                <w:right w:val="none" w:sz="0" w:space="0" w:color="auto"/>
                              </w:divBdr>
                            </w:div>
                            <w:div w:id="387921226">
                              <w:marLeft w:val="0"/>
                              <w:marRight w:val="0"/>
                              <w:marTop w:val="0"/>
                              <w:marBottom w:val="0"/>
                              <w:divBdr>
                                <w:top w:val="none" w:sz="0" w:space="0" w:color="auto"/>
                                <w:left w:val="none" w:sz="0" w:space="0" w:color="auto"/>
                                <w:bottom w:val="none" w:sz="0" w:space="0" w:color="auto"/>
                                <w:right w:val="none" w:sz="0" w:space="0" w:color="auto"/>
                              </w:divBdr>
                            </w:div>
                            <w:div w:id="1829009676">
                              <w:marLeft w:val="0"/>
                              <w:marRight w:val="0"/>
                              <w:marTop w:val="0"/>
                              <w:marBottom w:val="0"/>
                              <w:divBdr>
                                <w:top w:val="none" w:sz="0" w:space="0" w:color="auto"/>
                                <w:left w:val="none" w:sz="0" w:space="0" w:color="auto"/>
                                <w:bottom w:val="none" w:sz="0" w:space="0" w:color="auto"/>
                                <w:right w:val="none" w:sz="0" w:space="0" w:color="auto"/>
                              </w:divBdr>
                            </w:div>
                            <w:div w:id="2056616244">
                              <w:marLeft w:val="0"/>
                              <w:marRight w:val="0"/>
                              <w:marTop w:val="0"/>
                              <w:marBottom w:val="0"/>
                              <w:divBdr>
                                <w:top w:val="none" w:sz="0" w:space="0" w:color="auto"/>
                                <w:left w:val="none" w:sz="0" w:space="0" w:color="auto"/>
                                <w:bottom w:val="none" w:sz="0" w:space="0" w:color="auto"/>
                                <w:right w:val="none" w:sz="0" w:space="0" w:color="auto"/>
                              </w:divBdr>
                            </w:div>
                            <w:div w:id="1850556940">
                              <w:marLeft w:val="0"/>
                              <w:marRight w:val="0"/>
                              <w:marTop w:val="0"/>
                              <w:marBottom w:val="0"/>
                              <w:divBdr>
                                <w:top w:val="none" w:sz="0" w:space="0" w:color="auto"/>
                                <w:left w:val="none" w:sz="0" w:space="0" w:color="auto"/>
                                <w:bottom w:val="none" w:sz="0" w:space="0" w:color="auto"/>
                                <w:right w:val="none" w:sz="0" w:space="0" w:color="auto"/>
                              </w:divBdr>
                            </w:div>
                            <w:div w:id="1521427032">
                              <w:marLeft w:val="0"/>
                              <w:marRight w:val="0"/>
                              <w:marTop w:val="0"/>
                              <w:marBottom w:val="0"/>
                              <w:divBdr>
                                <w:top w:val="none" w:sz="0" w:space="0" w:color="auto"/>
                                <w:left w:val="none" w:sz="0" w:space="0" w:color="auto"/>
                                <w:bottom w:val="none" w:sz="0" w:space="0" w:color="auto"/>
                                <w:right w:val="none" w:sz="0" w:space="0" w:color="auto"/>
                              </w:divBdr>
                            </w:div>
                            <w:div w:id="318460177">
                              <w:marLeft w:val="0"/>
                              <w:marRight w:val="0"/>
                              <w:marTop w:val="0"/>
                              <w:marBottom w:val="0"/>
                              <w:divBdr>
                                <w:top w:val="none" w:sz="0" w:space="0" w:color="auto"/>
                                <w:left w:val="none" w:sz="0" w:space="0" w:color="auto"/>
                                <w:bottom w:val="none" w:sz="0" w:space="0" w:color="auto"/>
                                <w:right w:val="none" w:sz="0" w:space="0" w:color="auto"/>
                              </w:divBdr>
                            </w:div>
                            <w:div w:id="559366170">
                              <w:marLeft w:val="0"/>
                              <w:marRight w:val="0"/>
                              <w:marTop w:val="0"/>
                              <w:marBottom w:val="0"/>
                              <w:divBdr>
                                <w:top w:val="none" w:sz="0" w:space="0" w:color="auto"/>
                                <w:left w:val="none" w:sz="0" w:space="0" w:color="auto"/>
                                <w:bottom w:val="none" w:sz="0" w:space="0" w:color="auto"/>
                                <w:right w:val="none" w:sz="0" w:space="0" w:color="auto"/>
                              </w:divBdr>
                            </w:div>
                            <w:div w:id="809713172">
                              <w:marLeft w:val="0"/>
                              <w:marRight w:val="0"/>
                              <w:marTop w:val="0"/>
                              <w:marBottom w:val="120"/>
                              <w:divBdr>
                                <w:top w:val="none" w:sz="0" w:space="0" w:color="auto"/>
                                <w:left w:val="none" w:sz="0" w:space="0" w:color="auto"/>
                                <w:bottom w:val="none" w:sz="0" w:space="0" w:color="auto"/>
                                <w:right w:val="none" w:sz="0" w:space="0" w:color="auto"/>
                              </w:divBdr>
                            </w:div>
                            <w:div w:id="996147725">
                              <w:marLeft w:val="1079"/>
                              <w:marRight w:val="0"/>
                              <w:marTop w:val="0"/>
                              <w:marBottom w:val="0"/>
                              <w:divBdr>
                                <w:top w:val="none" w:sz="0" w:space="0" w:color="auto"/>
                                <w:left w:val="none" w:sz="0" w:space="0" w:color="auto"/>
                                <w:bottom w:val="none" w:sz="0" w:space="0" w:color="auto"/>
                                <w:right w:val="none" w:sz="0" w:space="0" w:color="auto"/>
                              </w:divBdr>
                            </w:div>
                            <w:div w:id="1148673190">
                              <w:marLeft w:val="1079"/>
                              <w:marRight w:val="0"/>
                              <w:marTop w:val="0"/>
                              <w:marBottom w:val="0"/>
                              <w:divBdr>
                                <w:top w:val="none" w:sz="0" w:space="0" w:color="auto"/>
                                <w:left w:val="none" w:sz="0" w:space="0" w:color="auto"/>
                                <w:bottom w:val="none" w:sz="0" w:space="0" w:color="auto"/>
                                <w:right w:val="none" w:sz="0" w:space="0" w:color="auto"/>
                              </w:divBdr>
                            </w:div>
                            <w:div w:id="1971978723">
                              <w:marLeft w:val="0"/>
                              <w:marRight w:val="0"/>
                              <w:marTop w:val="0"/>
                              <w:marBottom w:val="120"/>
                              <w:divBdr>
                                <w:top w:val="none" w:sz="0" w:space="0" w:color="auto"/>
                                <w:left w:val="none" w:sz="0" w:space="0" w:color="auto"/>
                                <w:bottom w:val="none" w:sz="0" w:space="0" w:color="auto"/>
                                <w:right w:val="none" w:sz="0" w:space="0" w:color="auto"/>
                              </w:divBdr>
                            </w:div>
                            <w:div w:id="965157563">
                              <w:marLeft w:val="1079"/>
                              <w:marRight w:val="0"/>
                              <w:marTop w:val="0"/>
                              <w:marBottom w:val="0"/>
                              <w:divBdr>
                                <w:top w:val="none" w:sz="0" w:space="0" w:color="auto"/>
                                <w:left w:val="none" w:sz="0" w:space="0" w:color="auto"/>
                                <w:bottom w:val="none" w:sz="0" w:space="0" w:color="auto"/>
                                <w:right w:val="none" w:sz="0" w:space="0" w:color="auto"/>
                              </w:divBdr>
                            </w:div>
                            <w:div w:id="1933659697">
                              <w:marLeft w:val="0"/>
                              <w:marRight w:val="0"/>
                              <w:marTop w:val="0"/>
                              <w:marBottom w:val="0"/>
                              <w:divBdr>
                                <w:top w:val="none" w:sz="0" w:space="0" w:color="auto"/>
                                <w:left w:val="none" w:sz="0" w:space="0" w:color="auto"/>
                                <w:bottom w:val="none" w:sz="0" w:space="0" w:color="auto"/>
                                <w:right w:val="none" w:sz="0" w:space="0" w:color="auto"/>
                              </w:divBdr>
                            </w:div>
                            <w:div w:id="1311863000">
                              <w:marLeft w:val="0"/>
                              <w:marRight w:val="0"/>
                              <w:marTop w:val="0"/>
                              <w:marBottom w:val="120"/>
                              <w:divBdr>
                                <w:top w:val="none" w:sz="0" w:space="0" w:color="auto"/>
                                <w:left w:val="none" w:sz="0" w:space="0" w:color="auto"/>
                                <w:bottom w:val="none" w:sz="0" w:space="0" w:color="auto"/>
                                <w:right w:val="none" w:sz="0" w:space="0" w:color="auto"/>
                              </w:divBdr>
                            </w:div>
                            <w:div w:id="900674687">
                              <w:marLeft w:val="1079"/>
                              <w:marRight w:val="0"/>
                              <w:marTop w:val="0"/>
                              <w:marBottom w:val="0"/>
                              <w:divBdr>
                                <w:top w:val="none" w:sz="0" w:space="0" w:color="auto"/>
                                <w:left w:val="none" w:sz="0" w:space="0" w:color="auto"/>
                                <w:bottom w:val="none" w:sz="0" w:space="0" w:color="auto"/>
                                <w:right w:val="none" w:sz="0" w:space="0" w:color="auto"/>
                              </w:divBdr>
                            </w:div>
                            <w:div w:id="363790574">
                              <w:marLeft w:val="1079"/>
                              <w:marRight w:val="0"/>
                              <w:marTop w:val="0"/>
                              <w:marBottom w:val="0"/>
                              <w:divBdr>
                                <w:top w:val="none" w:sz="0" w:space="0" w:color="auto"/>
                                <w:left w:val="none" w:sz="0" w:space="0" w:color="auto"/>
                                <w:bottom w:val="none" w:sz="0" w:space="0" w:color="auto"/>
                                <w:right w:val="none" w:sz="0" w:space="0" w:color="auto"/>
                              </w:divBdr>
                            </w:div>
                            <w:div w:id="1124738116">
                              <w:marLeft w:val="0"/>
                              <w:marRight w:val="0"/>
                              <w:marTop w:val="0"/>
                              <w:marBottom w:val="120"/>
                              <w:divBdr>
                                <w:top w:val="none" w:sz="0" w:space="0" w:color="auto"/>
                                <w:left w:val="none" w:sz="0" w:space="0" w:color="auto"/>
                                <w:bottom w:val="none" w:sz="0" w:space="0" w:color="auto"/>
                                <w:right w:val="none" w:sz="0" w:space="0" w:color="auto"/>
                              </w:divBdr>
                            </w:div>
                            <w:div w:id="52431833">
                              <w:marLeft w:val="1079"/>
                              <w:marRight w:val="0"/>
                              <w:marTop w:val="0"/>
                              <w:marBottom w:val="0"/>
                              <w:divBdr>
                                <w:top w:val="none" w:sz="0" w:space="0" w:color="auto"/>
                                <w:left w:val="none" w:sz="0" w:space="0" w:color="auto"/>
                                <w:bottom w:val="none" w:sz="0" w:space="0" w:color="auto"/>
                                <w:right w:val="none" w:sz="0" w:space="0" w:color="auto"/>
                              </w:divBdr>
                            </w:div>
                            <w:div w:id="103773008">
                              <w:marLeft w:val="1079"/>
                              <w:marRight w:val="0"/>
                              <w:marTop w:val="0"/>
                              <w:marBottom w:val="0"/>
                              <w:divBdr>
                                <w:top w:val="none" w:sz="0" w:space="0" w:color="auto"/>
                                <w:left w:val="none" w:sz="0" w:space="0" w:color="auto"/>
                                <w:bottom w:val="none" w:sz="0" w:space="0" w:color="auto"/>
                                <w:right w:val="none" w:sz="0" w:space="0" w:color="auto"/>
                              </w:divBdr>
                            </w:div>
                            <w:div w:id="1848521546">
                              <w:marLeft w:val="0"/>
                              <w:marRight w:val="0"/>
                              <w:marTop w:val="0"/>
                              <w:marBottom w:val="120"/>
                              <w:divBdr>
                                <w:top w:val="none" w:sz="0" w:space="0" w:color="auto"/>
                                <w:left w:val="none" w:sz="0" w:space="0" w:color="auto"/>
                                <w:bottom w:val="none" w:sz="0" w:space="0" w:color="auto"/>
                                <w:right w:val="none" w:sz="0" w:space="0" w:color="auto"/>
                              </w:divBdr>
                            </w:div>
                            <w:div w:id="2119332085">
                              <w:marLeft w:val="1079"/>
                              <w:marRight w:val="0"/>
                              <w:marTop w:val="0"/>
                              <w:marBottom w:val="0"/>
                              <w:divBdr>
                                <w:top w:val="none" w:sz="0" w:space="0" w:color="auto"/>
                                <w:left w:val="none" w:sz="0" w:space="0" w:color="auto"/>
                                <w:bottom w:val="none" w:sz="0" w:space="0" w:color="auto"/>
                                <w:right w:val="none" w:sz="0" w:space="0" w:color="auto"/>
                              </w:divBdr>
                            </w:div>
                            <w:div w:id="460076368">
                              <w:marLeft w:val="1079"/>
                              <w:marRight w:val="0"/>
                              <w:marTop w:val="0"/>
                              <w:marBottom w:val="0"/>
                              <w:divBdr>
                                <w:top w:val="none" w:sz="0" w:space="0" w:color="auto"/>
                                <w:left w:val="none" w:sz="0" w:space="0" w:color="auto"/>
                                <w:bottom w:val="none" w:sz="0" w:space="0" w:color="auto"/>
                                <w:right w:val="none" w:sz="0" w:space="0" w:color="auto"/>
                              </w:divBdr>
                            </w:div>
                            <w:div w:id="1326788365">
                              <w:marLeft w:val="0"/>
                              <w:marRight w:val="0"/>
                              <w:marTop w:val="0"/>
                              <w:marBottom w:val="120"/>
                              <w:divBdr>
                                <w:top w:val="none" w:sz="0" w:space="0" w:color="auto"/>
                                <w:left w:val="none" w:sz="0" w:space="0" w:color="auto"/>
                                <w:bottom w:val="none" w:sz="0" w:space="0" w:color="auto"/>
                                <w:right w:val="none" w:sz="0" w:space="0" w:color="auto"/>
                              </w:divBdr>
                            </w:div>
                            <w:div w:id="1065641302">
                              <w:marLeft w:val="1079"/>
                              <w:marRight w:val="0"/>
                              <w:marTop w:val="0"/>
                              <w:marBottom w:val="0"/>
                              <w:divBdr>
                                <w:top w:val="none" w:sz="0" w:space="0" w:color="auto"/>
                                <w:left w:val="none" w:sz="0" w:space="0" w:color="auto"/>
                                <w:bottom w:val="none" w:sz="0" w:space="0" w:color="auto"/>
                                <w:right w:val="none" w:sz="0" w:space="0" w:color="auto"/>
                              </w:divBdr>
                            </w:div>
                            <w:div w:id="1206914800">
                              <w:marLeft w:val="1079"/>
                              <w:marRight w:val="0"/>
                              <w:marTop w:val="0"/>
                              <w:marBottom w:val="0"/>
                              <w:divBdr>
                                <w:top w:val="none" w:sz="0" w:space="0" w:color="auto"/>
                                <w:left w:val="none" w:sz="0" w:space="0" w:color="auto"/>
                                <w:bottom w:val="none" w:sz="0" w:space="0" w:color="auto"/>
                                <w:right w:val="none" w:sz="0" w:space="0" w:color="auto"/>
                              </w:divBdr>
                            </w:div>
                            <w:div w:id="562982227">
                              <w:marLeft w:val="1079"/>
                              <w:marRight w:val="0"/>
                              <w:marTop w:val="0"/>
                              <w:marBottom w:val="0"/>
                              <w:divBdr>
                                <w:top w:val="none" w:sz="0" w:space="0" w:color="auto"/>
                                <w:left w:val="none" w:sz="0" w:space="0" w:color="auto"/>
                                <w:bottom w:val="none" w:sz="0" w:space="0" w:color="auto"/>
                                <w:right w:val="none" w:sz="0" w:space="0" w:color="auto"/>
                              </w:divBdr>
                            </w:div>
                            <w:div w:id="1077170117">
                              <w:marLeft w:val="1079"/>
                              <w:marRight w:val="0"/>
                              <w:marTop w:val="0"/>
                              <w:marBottom w:val="0"/>
                              <w:divBdr>
                                <w:top w:val="none" w:sz="0" w:space="0" w:color="auto"/>
                                <w:left w:val="none" w:sz="0" w:space="0" w:color="auto"/>
                                <w:bottom w:val="none" w:sz="0" w:space="0" w:color="auto"/>
                                <w:right w:val="none" w:sz="0" w:space="0" w:color="auto"/>
                              </w:divBdr>
                            </w:div>
                            <w:div w:id="1754736841">
                              <w:marLeft w:val="0"/>
                              <w:marRight w:val="0"/>
                              <w:marTop w:val="0"/>
                              <w:marBottom w:val="120"/>
                              <w:divBdr>
                                <w:top w:val="none" w:sz="0" w:space="0" w:color="auto"/>
                                <w:left w:val="none" w:sz="0" w:space="0" w:color="auto"/>
                                <w:bottom w:val="none" w:sz="0" w:space="0" w:color="auto"/>
                                <w:right w:val="none" w:sz="0" w:space="0" w:color="auto"/>
                              </w:divBdr>
                            </w:div>
                            <w:div w:id="392317719">
                              <w:marLeft w:val="0"/>
                              <w:marRight w:val="0"/>
                              <w:marTop w:val="0"/>
                              <w:marBottom w:val="120"/>
                              <w:divBdr>
                                <w:top w:val="none" w:sz="0" w:space="0" w:color="auto"/>
                                <w:left w:val="none" w:sz="0" w:space="0" w:color="auto"/>
                                <w:bottom w:val="none" w:sz="0" w:space="0" w:color="auto"/>
                                <w:right w:val="none" w:sz="0" w:space="0" w:color="auto"/>
                              </w:divBdr>
                            </w:div>
                            <w:div w:id="1232304838">
                              <w:marLeft w:val="1079"/>
                              <w:marRight w:val="0"/>
                              <w:marTop w:val="0"/>
                              <w:marBottom w:val="0"/>
                              <w:divBdr>
                                <w:top w:val="none" w:sz="0" w:space="0" w:color="auto"/>
                                <w:left w:val="none" w:sz="0" w:space="0" w:color="auto"/>
                                <w:bottom w:val="none" w:sz="0" w:space="0" w:color="auto"/>
                                <w:right w:val="none" w:sz="0" w:space="0" w:color="auto"/>
                              </w:divBdr>
                            </w:div>
                            <w:div w:id="691960908">
                              <w:marLeft w:val="0"/>
                              <w:marRight w:val="0"/>
                              <w:marTop w:val="0"/>
                              <w:marBottom w:val="120"/>
                              <w:divBdr>
                                <w:top w:val="none" w:sz="0" w:space="0" w:color="auto"/>
                                <w:left w:val="none" w:sz="0" w:space="0" w:color="auto"/>
                                <w:bottom w:val="none" w:sz="0" w:space="0" w:color="auto"/>
                                <w:right w:val="none" w:sz="0" w:space="0" w:color="auto"/>
                              </w:divBdr>
                            </w:div>
                            <w:div w:id="521673558">
                              <w:marLeft w:val="0"/>
                              <w:marRight w:val="0"/>
                              <w:marTop w:val="0"/>
                              <w:marBottom w:val="120"/>
                              <w:divBdr>
                                <w:top w:val="none" w:sz="0" w:space="0" w:color="auto"/>
                                <w:left w:val="none" w:sz="0" w:space="0" w:color="auto"/>
                                <w:bottom w:val="none" w:sz="0" w:space="0" w:color="auto"/>
                                <w:right w:val="none" w:sz="0" w:space="0" w:color="auto"/>
                              </w:divBdr>
                            </w:div>
                            <w:div w:id="924997467">
                              <w:marLeft w:val="0"/>
                              <w:marRight w:val="0"/>
                              <w:marTop w:val="0"/>
                              <w:marBottom w:val="120"/>
                              <w:divBdr>
                                <w:top w:val="none" w:sz="0" w:space="0" w:color="auto"/>
                                <w:left w:val="none" w:sz="0" w:space="0" w:color="auto"/>
                                <w:bottom w:val="none" w:sz="0" w:space="0" w:color="auto"/>
                                <w:right w:val="none" w:sz="0" w:space="0" w:color="auto"/>
                              </w:divBdr>
                            </w:div>
                            <w:div w:id="1795295451">
                              <w:marLeft w:val="0"/>
                              <w:marRight w:val="0"/>
                              <w:marTop w:val="0"/>
                              <w:marBottom w:val="120"/>
                              <w:divBdr>
                                <w:top w:val="none" w:sz="0" w:space="0" w:color="auto"/>
                                <w:left w:val="none" w:sz="0" w:space="0" w:color="auto"/>
                                <w:bottom w:val="none" w:sz="0" w:space="0" w:color="auto"/>
                                <w:right w:val="none" w:sz="0" w:space="0" w:color="auto"/>
                              </w:divBdr>
                            </w:div>
                            <w:div w:id="1779451615">
                              <w:marLeft w:val="0"/>
                              <w:marRight w:val="0"/>
                              <w:marTop w:val="0"/>
                              <w:marBottom w:val="120"/>
                              <w:divBdr>
                                <w:top w:val="none" w:sz="0" w:space="0" w:color="auto"/>
                                <w:left w:val="none" w:sz="0" w:space="0" w:color="auto"/>
                                <w:bottom w:val="none" w:sz="0" w:space="0" w:color="auto"/>
                                <w:right w:val="none" w:sz="0" w:space="0" w:color="auto"/>
                              </w:divBdr>
                            </w:div>
                            <w:div w:id="2074038379">
                              <w:marLeft w:val="0"/>
                              <w:marRight w:val="0"/>
                              <w:marTop w:val="0"/>
                              <w:marBottom w:val="120"/>
                              <w:divBdr>
                                <w:top w:val="none" w:sz="0" w:space="0" w:color="auto"/>
                                <w:left w:val="none" w:sz="0" w:space="0" w:color="auto"/>
                                <w:bottom w:val="none" w:sz="0" w:space="0" w:color="auto"/>
                                <w:right w:val="none" w:sz="0" w:space="0" w:color="auto"/>
                              </w:divBdr>
                            </w:div>
                            <w:div w:id="1054548393">
                              <w:marLeft w:val="0"/>
                              <w:marRight w:val="0"/>
                              <w:marTop w:val="0"/>
                              <w:marBottom w:val="120"/>
                              <w:divBdr>
                                <w:top w:val="none" w:sz="0" w:space="0" w:color="auto"/>
                                <w:left w:val="none" w:sz="0" w:space="0" w:color="auto"/>
                                <w:bottom w:val="none" w:sz="0" w:space="0" w:color="auto"/>
                                <w:right w:val="none" w:sz="0" w:space="0" w:color="auto"/>
                              </w:divBdr>
                            </w:div>
                            <w:div w:id="463934942">
                              <w:marLeft w:val="1079"/>
                              <w:marRight w:val="0"/>
                              <w:marTop w:val="0"/>
                              <w:marBottom w:val="0"/>
                              <w:divBdr>
                                <w:top w:val="none" w:sz="0" w:space="0" w:color="auto"/>
                                <w:left w:val="none" w:sz="0" w:space="0" w:color="auto"/>
                                <w:bottom w:val="none" w:sz="0" w:space="0" w:color="auto"/>
                                <w:right w:val="none" w:sz="0" w:space="0" w:color="auto"/>
                              </w:divBdr>
                            </w:div>
                            <w:div w:id="1628929285">
                              <w:marLeft w:val="0"/>
                              <w:marRight w:val="0"/>
                              <w:marTop w:val="0"/>
                              <w:marBottom w:val="120"/>
                              <w:divBdr>
                                <w:top w:val="none" w:sz="0" w:space="0" w:color="auto"/>
                                <w:left w:val="none" w:sz="0" w:space="0" w:color="auto"/>
                                <w:bottom w:val="none" w:sz="0" w:space="0" w:color="auto"/>
                                <w:right w:val="none" w:sz="0" w:space="0" w:color="auto"/>
                              </w:divBdr>
                            </w:div>
                            <w:div w:id="1276862574">
                              <w:marLeft w:val="0"/>
                              <w:marRight w:val="0"/>
                              <w:marTop w:val="0"/>
                              <w:marBottom w:val="120"/>
                              <w:divBdr>
                                <w:top w:val="none" w:sz="0" w:space="0" w:color="auto"/>
                                <w:left w:val="none" w:sz="0" w:space="0" w:color="auto"/>
                                <w:bottom w:val="none" w:sz="0" w:space="0" w:color="auto"/>
                                <w:right w:val="none" w:sz="0" w:space="0" w:color="auto"/>
                              </w:divBdr>
                            </w:div>
                            <w:div w:id="1527063142">
                              <w:marLeft w:val="1079"/>
                              <w:marRight w:val="0"/>
                              <w:marTop w:val="0"/>
                              <w:marBottom w:val="0"/>
                              <w:divBdr>
                                <w:top w:val="none" w:sz="0" w:space="0" w:color="auto"/>
                                <w:left w:val="none" w:sz="0" w:space="0" w:color="auto"/>
                                <w:bottom w:val="none" w:sz="0" w:space="0" w:color="auto"/>
                                <w:right w:val="none" w:sz="0" w:space="0" w:color="auto"/>
                              </w:divBdr>
                            </w:div>
                            <w:div w:id="998464410">
                              <w:marLeft w:val="0"/>
                              <w:marRight w:val="0"/>
                              <w:marTop w:val="0"/>
                              <w:marBottom w:val="120"/>
                              <w:divBdr>
                                <w:top w:val="none" w:sz="0" w:space="0" w:color="auto"/>
                                <w:left w:val="none" w:sz="0" w:space="0" w:color="auto"/>
                                <w:bottom w:val="none" w:sz="0" w:space="0" w:color="auto"/>
                                <w:right w:val="none" w:sz="0" w:space="0" w:color="auto"/>
                              </w:divBdr>
                            </w:div>
                            <w:div w:id="889462917">
                              <w:marLeft w:val="0"/>
                              <w:marRight w:val="0"/>
                              <w:marTop w:val="0"/>
                              <w:marBottom w:val="120"/>
                              <w:divBdr>
                                <w:top w:val="none" w:sz="0" w:space="0" w:color="auto"/>
                                <w:left w:val="none" w:sz="0" w:space="0" w:color="auto"/>
                                <w:bottom w:val="none" w:sz="0" w:space="0" w:color="auto"/>
                                <w:right w:val="none" w:sz="0" w:space="0" w:color="auto"/>
                              </w:divBdr>
                            </w:div>
                            <w:div w:id="926763956">
                              <w:marLeft w:val="1079"/>
                              <w:marRight w:val="0"/>
                              <w:marTop w:val="0"/>
                              <w:marBottom w:val="0"/>
                              <w:divBdr>
                                <w:top w:val="none" w:sz="0" w:space="0" w:color="auto"/>
                                <w:left w:val="none" w:sz="0" w:space="0" w:color="auto"/>
                                <w:bottom w:val="none" w:sz="0" w:space="0" w:color="auto"/>
                                <w:right w:val="none" w:sz="0" w:space="0" w:color="auto"/>
                              </w:divBdr>
                            </w:div>
                            <w:div w:id="1329988067">
                              <w:marLeft w:val="1079"/>
                              <w:marRight w:val="0"/>
                              <w:marTop w:val="0"/>
                              <w:marBottom w:val="0"/>
                              <w:divBdr>
                                <w:top w:val="none" w:sz="0" w:space="0" w:color="auto"/>
                                <w:left w:val="none" w:sz="0" w:space="0" w:color="auto"/>
                                <w:bottom w:val="none" w:sz="0" w:space="0" w:color="auto"/>
                                <w:right w:val="none" w:sz="0" w:space="0" w:color="auto"/>
                              </w:divBdr>
                            </w:div>
                            <w:div w:id="1800757518">
                              <w:marLeft w:val="0"/>
                              <w:marRight w:val="0"/>
                              <w:marTop w:val="0"/>
                              <w:marBottom w:val="0"/>
                              <w:divBdr>
                                <w:top w:val="none" w:sz="0" w:space="0" w:color="auto"/>
                                <w:left w:val="none" w:sz="0" w:space="0" w:color="auto"/>
                                <w:bottom w:val="none" w:sz="0" w:space="0" w:color="auto"/>
                                <w:right w:val="none" w:sz="0" w:space="0" w:color="auto"/>
                              </w:divBdr>
                            </w:div>
                            <w:div w:id="1815096236">
                              <w:marLeft w:val="0"/>
                              <w:marRight w:val="0"/>
                              <w:marTop w:val="0"/>
                              <w:marBottom w:val="0"/>
                              <w:divBdr>
                                <w:top w:val="none" w:sz="0" w:space="0" w:color="auto"/>
                                <w:left w:val="none" w:sz="0" w:space="0" w:color="auto"/>
                                <w:bottom w:val="none" w:sz="0" w:space="0" w:color="auto"/>
                                <w:right w:val="none" w:sz="0" w:space="0" w:color="auto"/>
                              </w:divBdr>
                            </w:div>
                            <w:div w:id="1909268049">
                              <w:marLeft w:val="0"/>
                              <w:marRight w:val="0"/>
                              <w:marTop w:val="60"/>
                              <w:marBottom w:val="60"/>
                              <w:divBdr>
                                <w:top w:val="none" w:sz="0" w:space="0" w:color="auto"/>
                                <w:left w:val="none" w:sz="0" w:space="0" w:color="auto"/>
                                <w:bottom w:val="none" w:sz="0" w:space="0" w:color="auto"/>
                                <w:right w:val="none" w:sz="0" w:space="0" w:color="auto"/>
                              </w:divBdr>
                            </w:div>
                            <w:div w:id="555049070">
                              <w:marLeft w:val="0"/>
                              <w:marRight w:val="0"/>
                              <w:marTop w:val="60"/>
                              <w:marBottom w:val="60"/>
                              <w:divBdr>
                                <w:top w:val="none" w:sz="0" w:space="0" w:color="auto"/>
                                <w:left w:val="none" w:sz="0" w:space="0" w:color="auto"/>
                                <w:bottom w:val="none" w:sz="0" w:space="0" w:color="auto"/>
                                <w:right w:val="none" w:sz="0" w:space="0" w:color="auto"/>
                              </w:divBdr>
                            </w:div>
                            <w:div w:id="2075734312">
                              <w:marLeft w:val="0"/>
                              <w:marRight w:val="0"/>
                              <w:marTop w:val="60"/>
                              <w:marBottom w:val="60"/>
                              <w:divBdr>
                                <w:top w:val="none" w:sz="0" w:space="0" w:color="auto"/>
                                <w:left w:val="none" w:sz="0" w:space="0" w:color="auto"/>
                                <w:bottom w:val="none" w:sz="0" w:space="0" w:color="auto"/>
                                <w:right w:val="none" w:sz="0" w:space="0" w:color="auto"/>
                              </w:divBdr>
                            </w:div>
                            <w:div w:id="1258948060">
                              <w:marLeft w:val="0"/>
                              <w:marRight w:val="0"/>
                              <w:marTop w:val="120"/>
                              <w:marBottom w:val="120"/>
                              <w:divBdr>
                                <w:top w:val="none" w:sz="0" w:space="0" w:color="auto"/>
                                <w:left w:val="none" w:sz="0" w:space="0" w:color="auto"/>
                                <w:bottom w:val="none" w:sz="0" w:space="0" w:color="auto"/>
                                <w:right w:val="none" w:sz="0" w:space="0" w:color="auto"/>
                              </w:divBdr>
                            </w:div>
                            <w:div w:id="1382634287">
                              <w:marLeft w:val="0"/>
                              <w:marRight w:val="0"/>
                              <w:marTop w:val="60"/>
                              <w:marBottom w:val="60"/>
                              <w:divBdr>
                                <w:top w:val="none" w:sz="0" w:space="0" w:color="auto"/>
                                <w:left w:val="none" w:sz="0" w:space="0" w:color="auto"/>
                                <w:bottom w:val="none" w:sz="0" w:space="0" w:color="auto"/>
                                <w:right w:val="none" w:sz="0" w:space="0" w:color="auto"/>
                              </w:divBdr>
                            </w:div>
                            <w:div w:id="1390693171">
                              <w:marLeft w:val="0"/>
                              <w:marRight w:val="0"/>
                              <w:marTop w:val="60"/>
                              <w:marBottom w:val="60"/>
                              <w:divBdr>
                                <w:top w:val="none" w:sz="0" w:space="0" w:color="auto"/>
                                <w:left w:val="none" w:sz="0" w:space="0" w:color="auto"/>
                                <w:bottom w:val="none" w:sz="0" w:space="0" w:color="auto"/>
                                <w:right w:val="none" w:sz="0" w:space="0" w:color="auto"/>
                              </w:divBdr>
                            </w:div>
                            <w:div w:id="2080011824">
                              <w:marLeft w:val="0"/>
                              <w:marRight w:val="0"/>
                              <w:marTop w:val="60"/>
                              <w:marBottom w:val="60"/>
                              <w:divBdr>
                                <w:top w:val="none" w:sz="0" w:space="0" w:color="auto"/>
                                <w:left w:val="none" w:sz="0" w:space="0" w:color="auto"/>
                                <w:bottom w:val="none" w:sz="0" w:space="0" w:color="auto"/>
                                <w:right w:val="none" w:sz="0" w:space="0" w:color="auto"/>
                              </w:divBdr>
                            </w:div>
                            <w:div w:id="702366019">
                              <w:marLeft w:val="0"/>
                              <w:marRight w:val="0"/>
                              <w:marTop w:val="60"/>
                              <w:marBottom w:val="60"/>
                              <w:divBdr>
                                <w:top w:val="none" w:sz="0" w:space="0" w:color="auto"/>
                                <w:left w:val="none" w:sz="0" w:space="0" w:color="auto"/>
                                <w:bottom w:val="none" w:sz="0" w:space="0" w:color="auto"/>
                                <w:right w:val="none" w:sz="0" w:space="0" w:color="auto"/>
                              </w:divBdr>
                            </w:div>
                            <w:div w:id="1285964685">
                              <w:marLeft w:val="0"/>
                              <w:marRight w:val="0"/>
                              <w:marTop w:val="60"/>
                              <w:marBottom w:val="60"/>
                              <w:divBdr>
                                <w:top w:val="none" w:sz="0" w:space="0" w:color="auto"/>
                                <w:left w:val="none" w:sz="0" w:space="0" w:color="auto"/>
                                <w:bottom w:val="none" w:sz="0" w:space="0" w:color="auto"/>
                                <w:right w:val="none" w:sz="0" w:space="0" w:color="auto"/>
                              </w:divBdr>
                            </w:div>
                            <w:div w:id="1199659949">
                              <w:marLeft w:val="0"/>
                              <w:marRight w:val="0"/>
                              <w:marTop w:val="60"/>
                              <w:marBottom w:val="60"/>
                              <w:divBdr>
                                <w:top w:val="none" w:sz="0" w:space="0" w:color="auto"/>
                                <w:left w:val="none" w:sz="0" w:space="0" w:color="auto"/>
                                <w:bottom w:val="none" w:sz="0" w:space="0" w:color="auto"/>
                                <w:right w:val="none" w:sz="0" w:space="0" w:color="auto"/>
                              </w:divBdr>
                            </w:div>
                            <w:div w:id="666632946">
                              <w:marLeft w:val="0"/>
                              <w:marRight w:val="0"/>
                              <w:marTop w:val="60"/>
                              <w:marBottom w:val="60"/>
                              <w:divBdr>
                                <w:top w:val="none" w:sz="0" w:space="0" w:color="auto"/>
                                <w:left w:val="none" w:sz="0" w:space="0" w:color="auto"/>
                                <w:bottom w:val="none" w:sz="0" w:space="0" w:color="auto"/>
                                <w:right w:val="none" w:sz="0" w:space="0" w:color="auto"/>
                              </w:divBdr>
                            </w:div>
                            <w:div w:id="647053590">
                              <w:marLeft w:val="0"/>
                              <w:marRight w:val="0"/>
                              <w:marTop w:val="60"/>
                              <w:marBottom w:val="60"/>
                              <w:divBdr>
                                <w:top w:val="none" w:sz="0" w:space="0" w:color="auto"/>
                                <w:left w:val="none" w:sz="0" w:space="0" w:color="auto"/>
                                <w:bottom w:val="none" w:sz="0" w:space="0" w:color="auto"/>
                                <w:right w:val="none" w:sz="0" w:space="0" w:color="auto"/>
                              </w:divBdr>
                            </w:div>
                            <w:div w:id="308219185">
                              <w:marLeft w:val="0"/>
                              <w:marRight w:val="0"/>
                              <w:marTop w:val="60"/>
                              <w:marBottom w:val="60"/>
                              <w:divBdr>
                                <w:top w:val="none" w:sz="0" w:space="0" w:color="auto"/>
                                <w:left w:val="none" w:sz="0" w:space="0" w:color="auto"/>
                                <w:bottom w:val="none" w:sz="0" w:space="0" w:color="auto"/>
                                <w:right w:val="none" w:sz="0" w:space="0" w:color="auto"/>
                              </w:divBdr>
                            </w:div>
                            <w:div w:id="783354594">
                              <w:marLeft w:val="0"/>
                              <w:marRight w:val="0"/>
                              <w:marTop w:val="0"/>
                              <w:marBottom w:val="0"/>
                              <w:divBdr>
                                <w:top w:val="none" w:sz="0" w:space="0" w:color="auto"/>
                                <w:left w:val="none" w:sz="0" w:space="0" w:color="auto"/>
                                <w:bottom w:val="none" w:sz="0" w:space="0" w:color="auto"/>
                                <w:right w:val="none" w:sz="0" w:space="0" w:color="auto"/>
                              </w:divBdr>
                            </w:div>
                            <w:div w:id="1775394437">
                              <w:marLeft w:val="0"/>
                              <w:marRight w:val="0"/>
                              <w:marTop w:val="60"/>
                              <w:marBottom w:val="60"/>
                              <w:divBdr>
                                <w:top w:val="none" w:sz="0" w:space="0" w:color="auto"/>
                                <w:left w:val="none" w:sz="0" w:space="0" w:color="auto"/>
                                <w:bottom w:val="none" w:sz="0" w:space="0" w:color="auto"/>
                                <w:right w:val="none" w:sz="0" w:space="0" w:color="auto"/>
                              </w:divBdr>
                            </w:div>
                            <w:div w:id="696277414">
                              <w:marLeft w:val="0"/>
                              <w:marRight w:val="0"/>
                              <w:marTop w:val="60"/>
                              <w:marBottom w:val="60"/>
                              <w:divBdr>
                                <w:top w:val="none" w:sz="0" w:space="0" w:color="auto"/>
                                <w:left w:val="none" w:sz="0" w:space="0" w:color="auto"/>
                                <w:bottom w:val="none" w:sz="0" w:space="0" w:color="auto"/>
                                <w:right w:val="none" w:sz="0" w:space="0" w:color="auto"/>
                              </w:divBdr>
                            </w:div>
                            <w:div w:id="1165632363">
                              <w:marLeft w:val="0"/>
                              <w:marRight w:val="0"/>
                              <w:marTop w:val="120"/>
                              <w:marBottom w:val="120"/>
                              <w:divBdr>
                                <w:top w:val="none" w:sz="0" w:space="0" w:color="auto"/>
                                <w:left w:val="none" w:sz="0" w:space="0" w:color="auto"/>
                                <w:bottom w:val="none" w:sz="0" w:space="0" w:color="auto"/>
                                <w:right w:val="none" w:sz="0" w:space="0" w:color="auto"/>
                              </w:divBdr>
                            </w:div>
                            <w:div w:id="1251499904">
                              <w:marLeft w:val="0"/>
                              <w:marRight w:val="0"/>
                              <w:marTop w:val="120"/>
                              <w:marBottom w:val="120"/>
                              <w:divBdr>
                                <w:top w:val="none" w:sz="0" w:space="0" w:color="auto"/>
                                <w:left w:val="none" w:sz="0" w:space="0" w:color="auto"/>
                                <w:bottom w:val="none" w:sz="0" w:space="0" w:color="auto"/>
                                <w:right w:val="none" w:sz="0" w:space="0" w:color="auto"/>
                              </w:divBdr>
                            </w:div>
                            <w:div w:id="364141806">
                              <w:marLeft w:val="0"/>
                              <w:marRight w:val="0"/>
                              <w:marTop w:val="120"/>
                              <w:marBottom w:val="120"/>
                              <w:divBdr>
                                <w:top w:val="none" w:sz="0" w:space="0" w:color="auto"/>
                                <w:left w:val="none" w:sz="0" w:space="0" w:color="auto"/>
                                <w:bottom w:val="none" w:sz="0" w:space="0" w:color="auto"/>
                                <w:right w:val="none" w:sz="0" w:space="0" w:color="auto"/>
                              </w:divBdr>
                            </w:div>
                            <w:div w:id="1038581129">
                              <w:marLeft w:val="0"/>
                              <w:marRight w:val="0"/>
                              <w:marTop w:val="60"/>
                              <w:marBottom w:val="60"/>
                              <w:divBdr>
                                <w:top w:val="none" w:sz="0" w:space="0" w:color="auto"/>
                                <w:left w:val="none" w:sz="0" w:space="0" w:color="auto"/>
                                <w:bottom w:val="none" w:sz="0" w:space="0" w:color="auto"/>
                                <w:right w:val="none" w:sz="0" w:space="0" w:color="auto"/>
                              </w:divBdr>
                            </w:div>
                            <w:div w:id="245311705">
                              <w:marLeft w:val="0"/>
                              <w:marRight w:val="0"/>
                              <w:marTop w:val="120"/>
                              <w:marBottom w:val="120"/>
                              <w:divBdr>
                                <w:top w:val="none" w:sz="0" w:space="0" w:color="auto"/>
                                <w:left w:val="none" w:sz="0" w:space="0" w:color="auto"/>
                                <w:bottom w:val="none" w:sz="0" w:space="0" w:color="auto"/>
                                <w:right w:val="none" w:sz="0" w:space="0" w:color="auto"/>
                              </w:divBdr>
                            </w:div>
                            <w:div w:id="534149897">
                              <w:marLeft w:val="0"/>
                              <w:marRight w:val="0"/>
                              <w:marTop w:val="60"/>
                              <w:marBottom w:val="60"/>
                              <w:divBdr>
                                <w:top w:val="none" w:sz="0" w:space="0" w:color="auto"/>
                                <w:left w:val="none" w:sz="0" w:space="0" w:color="auto"/>
                                <w:bottom w:val="none" w:sz="0" w:space="0" w:color="auto"/>
                                <w:right w:val="none" w:sz="0" w:space="0" w:color="auto"/>
                              </w:divBdr>
                            </w:div>
                            <w:div w:id="279886">
                              <w:marLeft w:val="0"/>
                              <w:marRight w:val="0"/>
                              <w:marTop w:val="120"/>
                              <w:marBottom w:val="120"/>
                              <w:divBdr>
                                <w:top w:val="none" w:sz="0" w:space="0" w:color="auto"/>
                                <w:left w:val="none" w:sz="0" w:space="0" w:color="auto"/>
                                <w:bottom w:val="none" w:sz="0" w:space="0" w:color="auto"/>
                                <w:right w:val="none" w:sz="0" w:space="0" w:color="auto"/>
                              </w:divBdr>
                            </w:div>
                            <w:div w:id="1518929734">
                              <w:marLeft w:val="0"/>
                              <w:marRight w:val="0"/>
                              <w:marTop w:val="60"/>
                              <w:marBottom w:val="60"/>
                              <w:divBdr>
                                <w:top w:val="none" w:sz="0" w:space="0" w:color="auto"/>
                                <w:left w:val="none" w:sz="0" w:space="0" w:color="auto"/>
                                <w:bottom w:val="none" w:sz="0" w:space="0" w:color="auto"/>
                                <w:right w:val="none" w:sz="0" w:space="0" w:color="auto"/>
                              </w:divBdr>
                            </w:div>
                            <w:div w:id="2084061016">
                              <w:marLeft w:val="0"/>
                              <w:marRight w:val="0"/>
                              <w:marTop w:val="120"/>
                              <w:marBottom w:val="120"/>
                              <w:divBdr>
                                <w:top w:val="none" w:sz="0" w:space="0" w:color="auto"/>
                                <w:left w:val="none" w:sz="0" w:space="0" w:color="auto"/>
                                <w:bottom w:val="none" w:sz="0" w:space="0" w:color="auto"/>
                                <w:right w:val="none" w:sz="0" w:space="0" w:color="auto"/>
                              </w:divBdr>
                            </w:div>
                            <w:div w:id="988629486">
                              <w:marLeft w:val="0"/>
                              <w:marRight w:val="0"/>
                              <w:marTop w:val="60"/>
                              <w:marBottom w:val="60"/>
                              <w:divBdr>
                                <w:top w:val="none" w:sz="0" w:space="0" w:color="auto"/>
                                <w:left w:val="none" w:sz="0" w:space="0" w:color="auto"/>
                                <w:bottom w:val="none" w:sz="0" w:space="0" w:color="auto"/>
                                <w:right w:val="none" w:sz="0" w:space="0" w:color="auto"/>
                              </w:divBdr>
                            </w:div>
                            <w:div w:id="1422796993">
                              <w:marLeft w:val="0"/>
                              <w:marRight w:val="0"/>
                              <w:marTop w:val="120"/>
                              <w:marBottom w:val="120"/>
                              <w:divBdr>
                                <w:top w:val="none" w:sz="0" w:space="0" w:color="auto"/>
                                <w:left w:val="none" w:sz="0" w:space="0" w:color="auto"/>
                                <w:bottom w:val="none" w:sz="0" w:space="0" w:color="auto"/>
                                <w:right w:val="none" w:sz="0" w:space="0" w:color="auto"/>
                              </w:divBdr>
                            </w:div>
                            <w:div w:id="31200989">
                              <w:marLeft w:val="0"/>
                              <w:marRight w:val="0"/>
                              <w:marTop w:val="60"/>
                              <w:marBottom w:val="60"/>
                              <w:divBdr>
                                <w:top w:val="none" w:sz="0" w:space="0" w:color="auto"/>
                                <w:left w:val="none" w:sz="0" w:space="0" w:color="auto"/>
                                <w:bottom w:val="none" w:sz="0" w:space="0" w:color="auto"/>
                                <w:right w:val="none" w:sz="0" w:space="0" w:color="auto"/>
                              </w:divBdr>
                            </w:div>
                            <w:div w:id="1040863848">
                              <w:marLeft w:val="0"/>
                              <w:marRight w:val="0"/>
                              <w:marTop w:val="0"/>
                              <w:marBottom w:val="0"/>
                              <w:divBdr>
                                <w:top w:val="none" w:sz="0" w:space="0" w:color="auto"/>
                                <w:left w:val="none" w:sz="0" w:space="0" w:color="auto"/>
                                <w:bottom w:val="none" w:sz="0" w:space="0" w:color="auto"/>
                                <w:right w:val="none" w:sz="0" w:space="0" w:color="auto"/>
                              </w:divBdr>
                            </w:div>
                            <w:div w:id="1833134760">
                              <w:marLeft w:val="0"/>
                              <w:marRight w:val="0"/>
                              <w:marTop w:val="0"/>
                              <w:marBottom w:val="0"/>
                              <w:divBdr>
                                <w:top w:val="none" w:sz="0" w:space="0" w:color="auto"/>
                                <w:left w:val="none" w:sz="0" w:space="0" w:color="auto"/>
                                <w:bottom w:val="none" w:sz="0" w:space="0" w:color="auto"/>
                                <w:right w:val="none" w:sz="0" w:space="0" w:color="auto"/>
                              </w:divBdr>
                            </w:div>
                            <w:div w:id="1229347009">
                              <w:marLeft w:val="0"/>
                              <w:marRight w:val="0"/>
                              <w:marTop w:val="0"/>
                              <w:marBottom w:val="0"/>
                              <w:divBdr>
                                <w:top w:val="none" w:sz="0" w:space="0" w:color="auto"/>
                                <w:left w:val="none" w:sz="0" w:space="0" w:color="auto"/>
                                <w:bottom w:val="none" w:sz="0" w:space="0" w:color="auto"/>
                                <w:right w:val="none" w:sz="0" w:space="0" w:color="auto"/>
                              </w:divBdr>
                            </w:div>
                            <w:div w:id="1147090500">
                              <w:marLeft w:val="0"/>
                              <w:marRight w:val="0"/>
                              <w:marTop w:val="0"/>
                              <w:marBottom w:val="0"/>
                              <w:divBdr>
                                <w:top w:val="none" w:sz="0" w:space="0" w:color="auto"/>
                                <w:left w:val="none" w:sz="0" w:space="0" w:color="auto"/>
                                <w:bottom w:val="none" w:sz="0" w:space="0" w:color="auto"/>
                                <w:right w:val="none" w:sz="0" w:space="0" w:color="auto"/>
                              </w:divBdr>
                              <w:divsChild>
                                <w:div w:id="132140588">
                                  <w:marLeft w:val="0"/>
                                  <w:marRight w:val="0"/>
                                  <w:marTop w:val="0"/>
                                  <w:marBottom w:val="0"/>
                                  <w:divBdr>
                                    <w:top w:val="none" w:sz="0" w:space="0" w:color="auto"/>
                                    <w:left w:val="none" w:sz="0" w:space="0" w:color="auto"/>
                                    <w:bottom w:val="none" w:sz="0" w:space="0" w:color="auto"/>
                                    <w:right w:val="none" w:sz="0" w:space="0" w:color="auto"/>
                                  </w:divBdr>
                                </w:div>
                                <w:div w:id="1396584636">
                                  <w:marLeft w:val="0"/>
                                  <w:marRight w:val="0"/>
                                  <w:marTop w:val="0"/>
                                  <w:marBottom w:val="0"/>
                                  <w:divBdr>
                                    <w:top w:val="none" w:sz="0" w:space="0" w:color="auto"/>
                                    <w:left w:val="none" w:sz="0" w:space="0" w:color="auto"/>
                                    <w:bottom w:val="none" w:sz="0" w:space="0" w:color="auto"/>
                                    <w:right w:val="none" w:sz="0" w:space="0" w:color="auto"/>
                                  </w:divBdr>
                                  <w:divsChild>
                                    <w:div w:id="389620344">
                                      <w:marLeft w:val="0"/>
                                      <w:marRight w:val="0"/>
                                      <w:marTop w:val="0"/>
                                      <w:marBottom w:val="0"/>
                                      <w:divBdr>
                                        <w:top w:val="none" w:sz="0" w:space="0" w:color="auto"/>
                                        <w:left w:val="none" w:sz="0" w:space="0" w:color="auto"/>
                                        <w:bottom w:val="none" w:sz="0" w:space="0" w:color="auto"/>
                                        <w:right w:val="none" w:sz="0" w:space="0" w:color="auto"/>
                                      </w:divBdr>
                                    </w:div>
                                    <w:div w:id="17489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976130">
                              <w:marLeft w:val="0"/>
                              <w:marRight w:val="0"/>
                              <w:marTop w:val="0"/>
                              <w:marBottom w:val="0"/>
                              <w:divBdr>
                                <w:top w:val="none" w:sz="0" w:space="0" w:color="auto"/>
                                <w:left w:val="none" w:sz="0" w:space="0" w:color="auto"/>
                                <w:bottom w:val="none" w:sz="0" w:space="0" w:color="auto"/>
                                <w:right w:val="none" w:sz="0" w:space="0" w:color="auto"/>
                              </w:divBdr>
                            </w:div>
                            <w:div w:id="1980190050">
                              <w:marLeft w:val="0"/>
                              <w:marRight w:val="0"/>
                              <w:marTop w:val="0"/>
                              <w:marBottom w:val="0"/>
                              <w:divBdr>
                                <w:top w:val="none" w:sz="0" w:space="0" w:color="auto"/>
                                <w:left w:val="none" w:sz="0" w:space="0" w:color="auto"/>
                                <w:bottom w:val="none" w:sz="0" w:space="0" w:color="auto"/>
                                <w:right w:val="none" w:sz="0" w:space="0" w:color="auto"/>
                              </w:divBdr>
                            </w:div>
                            <w:div w:id="891307608">
                              <w:marLeft w:val="0"/>
                              <w:marRight w:val="0"/>
                              <w:marTop w:val="0"/>
                              <w:marBottom w:val="0"/>
                              <w:divBdr>
                                <w:top w:val="none" w:sz="0" w:space="0" w:color="auto"/>
                                <w:left w:val="none" w:sz="0" w:space="0" w:color="auto"/>
                                <w:bottom w:val="none" w:sz="0" w:space="0" w:color="auto"/>
                                <w:right w:val="none" w:sz="0" w:space="0" w:color="auto"/>
                              </w:divBdr>
                            </w:div>
                            <w:div w:id="1091510578">
                              <w:marLeft w:val="0"/>
                              <w:marRight w:val="0"/>
                              <w:marTop w:val="0"/>
                              <w:marBottom w:val="0"/>
                              <w:divBdr>
                                <w:top w:val="none" w:sz="0" w:space="0" w:color="auto"/>
                                <w:left w:val="none" w:sz="0" w:space="0" w:color="auto"/>
                                <w:bottom w:val="none" w:sz="0" w:space="0" w:color="auto"/>
                                <w:right w:val="none" w:sz="0" w:space="0" w:color="auto"/>
                              </w:divBdr>
                            </w:div>
                            <w:div w:id="2126657380">
                              <w:marLeft w:val="0"/>
                              <w:marRight w:val="0"/>
                              <w:marTop w:val="0"/>
                              <w:marBottom w:val="0"/>
                              <w:divBdr>
                                <w:top w:val="none" w:sz="0" w:space="0" w:color="auto"/>
                                <w:left w:val="none" w:sz="0" w:space="0" w:color="auto"/>
                                <w:bottom w:val="none" w:sz="0" w:space="0" w:color="auto"/>
                                <w:right w:val="none" w:sz="0" w:space="0" w:color="auto"/>
                              </w:divBdr>
                            </w:div>
                            <w:div w:id="90514941">
                              <w:marLeft w:val="0"/>
                              <w:marRight w:val="0"/>
                              <w:marTop w:val="0"/>
                              <w:marBottom w:val="0"/>
                              <w:divBdr>
                                <w:top w:val="none" w:sz="0" w:space="0" w:color="auto"/>
                                <w:left w:val="none" w:sz="0" w:space="0" w:color="auto"/>
                                <w:bottom w:val="none" w:sz="0" w:space="0" w:color="auto"/>
                                <w:right w:val="none" w:sz="0" w:space="0" w:color="auto"/>
                              </w:divBdr>
                            </w:div>
                            <w:div w:id="1834488602">
                              <w:marLeft w:val="0"/>
                              <w:marRight w:val="0"/>
                              <w:marTop w:val="0"/>
                              <w:marBottom w:val="0"/>
                              <w:divBdr>
                                <w:top w:val="none" w:sz="0" w:space="0" w:color="auto"/>
                                <w:left w:val="none" w:sz="0" w:space="0" w:color="auto"/>
                                <w:bottom w:val="none" w:sz="0" w:space="0" w:color="auto"/>
                                <w:right w:val="none" w:sz="0" w:space="0" w:color="auto"/>
                              </w:divBdr>
                            </w:div>
                            <w:div w:id="1601404272">
                              <w:marLeft w:val="0"/>
                              <w:marRight w:val="0"/>
                              <w:marTop w:val="0"/>
                              <w:marBottom w:val="0"/>
                              <w:divBdr>
                                <w:top w:val="none" w:sz="0" w:space="0" w:color="auto"/>
                                <w:left w:val="none" w:sz="0" w:space="0" w:color="auto"/>
                                <w:bottom w:val="none" w:sz="0" w:space="0" w:color="auto"/>
                                <w:right w:val="none" w:sz="0" w:space="0" w:color="auto"/>
                              </w:divBdr>
                            </w:div>
                            <w:div w:id="1326712139">
                              <w:marLeft w:val="0"/>
                              <w:marRight w:val="0"/>
                              <w:marTop w:val="0"/>
                              <w:marBottom w:val="0"/>
                              <w:divBdr>
                                <w:top w:val="none" w:sz="0" w:space="0" w:color="auto"/>
                                <w:left w:val="none" w:sz="0" w:space="0" w:color="auto"/>
                                <w:bottom w:val="none" w:sz="0" w:space="0" w:color="auto"/>
                                <w:right w:val="none" w:sz="0" w:space="0" w:color="auto"/>
                              </w:divBdr>
                            </w:div>
                            <w:div w:id="354041496">
                              <w:marLeft w:val="0"/>
                              <w:marRight w:val="0"/>
                              <w:marTop w:val="0"/>
                              <w:marBottom w:val="0"/>
                              <w:divBdr>
                                <w:top w:val="none" w:sz="0" w:space="0" w:color="auto"/>
                                <w:left w:val="none" w:sz="0" w:space="0" w:color="auto"/>
                                <w:bottom w:val="none" w:sz="0" w:space="0" w:color="auto"/>
                                <w:right w:val="none" w:sz="0" w:space="0" w:color="auto"/>
                              </w:divBdr>
                            </w:div>
                            <w:div w:id="1797287365">
                              <w:marLeft w:val="0"/>
                              <w:marRight w:val="0"/>
                              <w:marTop w:val="0"/>
                              <w:marBottom w:val="0"/>
                              <w:divBdr>
                                <w:top w:val="none" w:sz="0" w:space="0" w:color="auto"/>
                                <w:left w:val="none" w:sz="0" w:space="0" w:color="auto"/>
                                <w:bottom w:val="none" w:sz="0" w:space="0" w:color="auto"/>
                                <w:right w:val="none" w:sz="0" w:space="0" w:color="auto"/>
                              </w:divBdr>
                            </w:div>
                            <w:div w:id="1115559770">
                              <w:marLeft w:val="0"/>
                              <w:marRight w:val="0"/>
                              <w:marTop w:val="0"/>
                              <w:marBottom w:val="0"/>
                              <w:divBdr>
                                <w:top w:val="none" w:sz="0" w:space="0" w:color="auto"/>
                                <w:left w:val="none" w:sz="0" w:space="0" w:color="auto"/>
                                <w:bottom w:val="none" w:sz="0" w:space="0" w:color="auto"/>
                                <w:right w:val="none" w:sz="0" w:space="0" w:color="auto"/>
                              </w:divBdr>
                            </w:div>
                            <w:div w:id="1563640048">
                              <w:marLeft w:val="0"/>
                              <w:marRight w:val="0"/>
                              <w:marTop w:val="0"/>
                              <w:marBottom w:val="0"/>
                              <w:divBdr>
                                <w:top w:val="none" w:sz="0" w:space="0" w:color="auto"/>
                                <w:left w:val="none" w:sz="0" w:space="0" w:color="auto"/>
                                <w:bottom w:val="none" w:sz="0" w:space="0" w:color="auto"/>
                                <w:right w:val="none" w:sz="0" w:space="0" w:color="auto"/>
                              </w:divBdr>
                            </w:div>
                            <w:div w:id="1085223193">
                              <w:marLeft w:val="0"/>
                              <w:marRight w:val="0"/>
                              <w:marTop w:val="0"/>
                              <w:marBottom w:val="0"/>
                              <w:divBdr>
                                <w:top w:val="none" w:sz="0" w:space="0" w:color="auto"/>
                                <w:left w:val="none" w:sz="0" w:space="0" w:color="auto"/>
                                <w:bottom w:val="none" w:sz="0" w:space="0" w:color="auto"/>
                                <w:right w:val="none" w:sz="0" w:space="0" w:color="auto"/>
                              </w:divBdr>
                            </w:div>
                            <w:div w:id="386145107">
                              <w:marLeft w:val="0"/>
                              <w:marRight w:val="0"/>
                              <w:marTop w:val="0"/>
                              <w:marBottom w:val="0"/>
                              <w:divBdr>
                                <w:top w:val="none" w:sz="0" w:space="0" w:color="auto"/>
                                <w:left w:val="none" w:sz="0" w:space="0" w:color="auto"/>
                                <w:bottom w:val="none" w:sz="0" w:space="0" w:color="auto"/>
                                <w:right w:val="none" w:sz="0" w:space="0" w:color="auto"/>
                              </w:divBdr>
                            </w:div>
                            <w:div w:id="1457142276">
                              <w:marLeft w:val="0"/>
                              <w:marRight w:val="0"/>
                              <w:marTop w:val="0"/>
                              <w:marBottom w:val="0"/>
                              <w:divBdr>
                                <w:top w:val="none" w:sz="0" w:space="0" w:color="auto"/>
                                <w:left w:val="none" w:sz="0" w:space="0" w:color="auto"/>
                                <w:bottom w:val="none" w:sz="0" w:space="0" w:color="auto"/>
                                <w:right w:val="none" w:sz="0" w:space="0" w:color="auto"/>
                              </w:divBdr>
                            </w:div>
                            <w:div w:id="1326129224">
                              <w:marLeft w:val="0"/>
                              <w:marRight w:val="0"/>
                              <w:marTop w:val="0"/>
                              <w:marBottom w:val="0"/>
                              <w:divBdr>
                                <w:top w:val="none" w:sz="0" w:space="0" w:color="auto"/>
                                <w:left w:val="none" w:sz="0" w:space="0" w:color="auto"/>
                                <w:bottom w:val="none" w:sz="0" w:space="0" w:color="auto"/>
                                <w:right w:val="none" w:sz="0" w:space="0" w:color="auto"/>
                              </w:divBdr>
                            </w:div>
                            <w:div w:id="1895000381">
                              <w:marLeft w:val="0"/>
                              <w:marRight w:val="0"/>
                              <w:marTop w:val="0"/>
                              <w:marBottom w:val="0"/>
                              <w:divBdr>
                                <w:top w:val="none" w:sz="0" w:space="0" w:color="auto"/>
                                <w:left w:val="none" w:sz="0" w:space="0" w:color="auto"/>
                                <w:bottom w:val="none" w:sz="0" w:space="0" w:color="auto"/>
                                <w:right w:val="none" w:sz="0" w:space="0" w:color="auto"/>
                              </w:divBdr>
                            </w:div>
                            <w:div w:id="1625958707">
                              <w:marLeft w:val="0"/>
                              <w:marRight w:val="0"/>
                              <w:marTop w:val="0"/>
                              <w:marBottom w:val="0"/>
                              <w:divBdr>
                                <w:top w:val="none" w:sz="0" w:space="0" w:color="auto"/>
                                <w:left w:val="none" w:sz="0" w:space="0" w:color="auto"/>
                                <w:bottom w:val="none" w:sz="0" w:space="0" w:color="auto"/>
                                <w:right w:val="none" w:sz="0" w:space="0" w:color="auto"/>
                              </w:divBdr>
                            </w:div>
                            <w:div w:id="801463360">
                              <w:marLeft w:val="0"/>
                              <w:marRight w:val="0"/>
                              <w:marTop w:val="0"/>
                              <w:marBottom w:val="0"/>
                              <w:divBdr>
                                <w:top w:val="none" w:sz="0" w:space="0" w:color="auto"/>
                                <w:left w:val="none" w:sz="0" w:space="0" w:color="auto"/>
                                <w:bottom w:val="none" w:sz="0" w:space="0" w:color="auto"/>
                                <w:right w:val="none" w:sz="0" w:space="0" w:color="auto"/>
                              </w:divBdr>
                            </w:div>
                            <w:div w:id="384914425">
                              <w:marLeft w:val="0"/>
                              <w:marRight w:val="0"/>
                              <w:marTop w:val="0"/>
                              <w:marBottom w:val="0"/>
                              <w:divBdr>
                                <w:top w:val="none" w:sz="0" w:space="0" w:color="auto"/>
                                <w:left w:val="none" w:sz="0" w:space="0" w:color="auto"/>
                                <w:bottom w:val="none" w:sz="0" w:space="0" w:color="auto"/>
                                <w:right w:val="none" w:sz="0" w:space="0" w:color="auto"/>
                              </w:divBdr>
                            </w:div>
                            <w:div w:id="192499952">
                              <w:marLeft w:val="0"/>
                              <w:marRight w:val="0"/>
                              <w:marTop w:val="0"/>
                              <w:marBottom w:val="0"/>
                              <w:divBdr>
                                <w:top w:val="none" w:sz="0" w:space="0" w:color="auto"/>
                                <w:left w:val="none" w:sz="0" w:space="0" w:color="auto"/>
                                <w:bottom w:val="none" w:sz="0" w:space="0" w:color="auto"/>
                                <w:right w:val="none" w:sz="0" w:space="0" w:color="auto"/>
                              </w:divBdr>
                            </w:div>
                            <w:div w:id="374157840">
                              <w:marLeft w:val="0"/>
                              <w:marRight w:val="0"/>
                              <w:marTop w:val="0"/>
                              <w:marBottom w:val="0"/>
                              <w:divBdr>
                                <w:top w:val="none" w:sz="0" w:space="0" w:color="auto"/>
                                <w:left w:val="none" w:sz="0" w:space="0" w:color="auto"/>
                                <w:bottom w:val="none" w:sz="0" w:space="0" w:color="auto"/>
                                <w:right w:val="none" w:sz="0" w:space="0" w:color="auto"/>
                              </w:divBdr>
                            </w:div>
                            <w:div w:id="608392282">
                              <w:marLeft w:val="0"/>
                              <w:marRight w:val="0"/>
                              <w:marTop w:val="0"/>
                              <w:marBottom w:val="0"/>
                              <w:divBdr>
                                <w:top w:val="none" w:sz="0" w:space="0" w:color="auto"/>
                                <w:left w:val="none" w:sz="0" w:space="0" w:color="auto"/>
                                <w:bottom w:val="none" w:sz="0" w:space="0" w:color="auto"/>
                                <w:right w:val="none" w:sz="0" w:space="0" w:color="auto"/>
                              </w:divBdr>
                            </w:div>
                            <w:div w:id="679087053">
                              <w:marLeft w:val="0"/>
                              <w:marRight w:val="0"/>
                              <w:marTop w:val="0"/>
                              <w:marBottom w:val="0"/>
                              <w:divBdr>
                                <w:top w:val="none" w:sz="0" w:space="0" w:color="auto"/>
                                <w:left w:val="none" w:sz="0" w:space="0" w:color="auto"/>
                                <w:bottom w:val="none" w:sz="0" w:space="0" w:color="auto"/>
                                <w:right w:val="none" w:sz="0" w:space="0" w:color="auto"/>
                              </w:divBdr>
                            </w:div>
                            <w:div w:id="1310551786">
                              <w:marLeft w:val="0"/>
                              <w:marRight w:val="0"/>
                              <w:marTop w:val="0"/>
                              <w:marBottom w:val="0"/>
                              <w:divBdr>
                                <w:top w:val="none" w:sz="0" w:space="0" w:color="auto"/>
                                <w:left w:val="none" w:sz="0" w:space="0" w:color="auto"/>
                                <w:bottom w:val="none" w:sz="0" w:space="0" w:color="auto"/>
                                <w:right w:val="none" w:sz="0" w:space="0" w:color="auto"/>
                              </w:divBdr>
                            </w:div>
                            <w:div w:id="624239382">
                              <w:marLeft w:val="0"/>
                              <w:marRight w:val="0"/>
                              <w:marTop w:val="0"/>
                              <w:marBottom w:val="0"/>
                              <w:divBdr>
                                <w:top w:val="none" w:sz="0" w:space="0" w:color="auto"/>
                                <w:left w:val="none" w:sz="0" w:space="0" w:color="auto"/>
                                <w:bottom w:val="none" w:sz="0" w:space="0" w:color="auto"/>
                                <w:right w:val="none" w:sz="0" w:space="0" w:color="auto"/>
                              </w:divBdr>
                            </w:div>
                            <w:div w:id="511185018">
                              <w:marLeft w:val="0"/>
                              <w:marRight w:val="0"/>
                              <w:marTop w:val="0"/>
                              <w:marBottom w:val="0"/>
                              <w:divBdr>
                                <w:top w:val="none" w:sz="0" w:space="0" w:color="auto"/>
                                <w:left w:val="none" w:sz="0" w:space="0" w:color="auto"/>
                                <w:bottom w:val="none" w:sz="0" w:space="0" w:color="auto"/>
                                <w:right w:val="none" w:sz="0" w:space="0" w:color="auto"/>
                              </w:divBdr>
                            </w:div>
                            <w:div w:id="837429998">
                              <w:marLeft w:val="0"/>
                              <w:marRight w:val="0"/>
                              <w:marTop w:val="0"/>
                              <w:marBottom w:val="0"/>
                              <w:divBdr>
                                <w:top w:val="none" w:sz="0" w:space="0" w:color="auto"/>
                                <w:left w:val="none" w:sz="0" w:space="0" w:color="auto"/>
                                <w:bottom w:val="none" w:sz="0" w:space="0" w:color="auto"/>
                                <w:right w:val="none" w:sz="0" w:space="0" w:color="auto"/>
                              </w:divBdr>
                            </w:div>
                            <w:div w:id="312875927">
                              <w:marLeft w:val="0"/>
                              <w:marRight w:val="0"/>
                              <w:marTop w:val="0"/>
                              <w:marBottom w:val="0"/>
                              <w:divBdr>
                                <w:top w:val="none" w:sz="0" w:space="0" w:color="auto"/>
                                <w:left w:val="none" w:sz="0" w:space="0" w:color="auto"/>
                                <w:bottom w:val="none" w:sz="0" w:space="0" w:color="auto"/>
                                <w:right w:val="none" w:sz="0" w:space="0" w:color="auto"/>
                              </w:divBdr>
                            </w:div>
                            <w:div w:id="2121146981">
                              <w:marLeft w:val="0"/>
                              <w:marRight w:val="0"/>
                              <w:marTop w:val="0"/>
                              <w:marBottom w:val="0"/>
                              <w:divBdr>
                                <w:top w:val="none" w:sz="0" w:space="0" w:color="auto"/>
                                <w:left w:val="none" w:sz="0" w:space="0" w:color="auto"/>
                                <w:bottom w:val="none" w:sz="0" w:space="0" w:color="auto"/>
                                <w:right w:val="none" w:sz="0" w:space="0" w:color="auto"/>
                              </w:divBdr>
                            </w:div>
                            <w:div w:id="363135643">
                              <w:marLeft w:val="0"/>
                              <w:marRight w:val="0"/>
                              <w:marTop w:val="0"/>
                              <w:marBottom w:val="0"/>
                              <w:divBdr>
                                <w:top w:val="none" w:sz="0" w:space="0" w:color="auto"/>
                                <w:left w:val="none" w:sz="0" w:space="0" w:color="auto"/>
                                <w:bottom w:val="none" w:sz="0" w:space="0" w:color="auto"/>
                                <w:right w:val="none" w:sz="0" w:space="0" w:color="auto"/>
                              </w:divBdr>
                            </w:div>
                            <w:div w:id="1861241277">
                              <w:marLeft w:val="0"/>
                              <w:marRight w:val="0"/>
                              <w:marTop w:val="0"/>
                              <w:marBottom w:val="0"/>
                              <w:divBdr>
                                <w:top w:val="none" w:sz="0" w:space="0" w:color="auto"/>
                                <w:left w:val="none" w:sz="0" w:space="0" w:color="auto"/>
                                <w:bottom w:val="none" w:sz="0" w:space="0" w:color="auto"/>
                                <w:right w:val="none" w:sz="0" w:space="0" w:color="auto"/>
                              </w:divBdr>
                            </w:div>
                            <w:div w:id="51924650">
                              <w:marLeft w:val="0"/>
                              <w:marRight w:val="0"/>
                              <w:marTop w:val="0"/>
                              <w:marBottom w:val="0"/>
                              <w:divBdr>
                                <w:top w:val="none" w:sz="0" w:space="0" w:color="auto"/>
                                <w:left w:val="none" w:sz="0" w:space="0" w:color="auto"/>
                                <w:bottom w:val="none" w:sz="0" w:space="0" w:color="auto"/>
                                <w:right w:val="none" w:sz="0" w:space="0" w:color="auto"/>
                              </w:divBdr>
                            </w:div>
                            <w:div w:id="1703936804">
                              <w:marLeft w:val="0"/>
                              <w:marRight w:val="0"/>
                              <w:marTop w:val="0"/>
                              <w:marBottom w:val="0"/>
                              <w:divBdr>
                                <w:top w:val="none" w:sz="0" w:space="0" w:color="auto"/>
                                <w:left w:val="none" w:sz="0" w:space="0" w:color="auto"/>
                                <w:bottom w:val="none" w:sz="0" w:space="0" w:color="auto"/>
                                <w:right w:val="none" w:sz="0" w:space="0" w:color="auto"/>
                              </w:divBdr>
                            </w:div>
                            <w:div w:id="1988321140">
                              <w:marLeft w:val="0"/>
                              <w:marRight w:val="0"/>
                              <w:marTop w:val="0"/>
                              <w:marBottom w:val="0"/>
                              <w:divBdr>
                                <w:top w:val="none" w:sz="0" w:space="0" w:color="auto"/>
                                <w:left w:val="none" w:sz="0" w:space="0" w:color="auto"/>
                                <w:bottom w:val="none" w:sz="0" w:space="0" w:color="auto"/>
                                <w:right w:val="none" w:sz="0" w:space="0" w:color="auto"/>
                              </w:divBdr>
                            </w:div>
                            <w:div w:id="294605881">
                              <w:marLeft w:val="0"/>
                              <w:marRight w:val="0"/>
                              <w:marTop w:val="0"/>
                              <w:marBottom w:val="0"/>
                              <w:divBdr>
                                <w:top w:val="none" w:sz="0" w:space="0" w:color="auto"/>
                                <w:left w:val="none" w:sz="0" w:space="0" w:color="auto"/>
                                <w:bottom w:val="none" w:sz="0" w:space="0" w:color="auto"/>
                                <w:right w:val="none" w:sz="0" w:space="0" w:color="auto"/>
                              </w:divBdr>
                            </w:div>
                            <w:div w:id="525486996">
                              <w:marLeft w:val="0"/>
                              <w:marRight w:val="0"/>
                              <w:marTop w:val="0"/>
                              <w:marBottom w:val="0"/>
                              <w:divBdr>
                                <w:top w:val="none" w:sz="0" w:space="0" w:color="auto"/>
                                <w:left w:val="none" w:sz="0" w:space="0" w:color="auto"/>
                                <w:bottom w:val="none" w:sz="0" w:space="0" w:color="auto"/>
                                <w:right w:val="none" w:sz="0" w:space="0" w:color="auto"/>
                              </w:divBdr>
                            </w:div>
                            <w:div w:id="43913092">
                              <w:marLeft w:val="0"/>
                              <w:marRight w:val="0"/>
                              <w:marTop w:val="0"/>
                              <w:marBottom w:val="0"/>
                              <w:divBdr>
                                <w:top w:val="none" w:sz="0" w:space="0" w:color="auto"/>
                                <w:left w:val="none" w:sz="0" w:space="0" w:color="auto"/>
                                <w:bottom w:val="none" w:sz="0" w:space="0" w:color="auto"/>
                                <w:right w:val="none" w:sz="0" w:space="0" w:color="auto"/>
                              </w:divBdr>
                            </w:div>
                            <w:div w:id="1490947477">
                              <w:marLeft w:val="0"/>
                              <w:marRight w:val="0"/>
                              <w:marTop w:val="0"/>
                              <w:marBottom w:val="0"/>
                              <w:divBdr>
                                <w:top w:val="none" w:sz="0" w:space="0" w:color="auto"/>
                                <w:left w:val="none" w:sz="0" w:space="0" w:color="auto"/>
                                <w:bottom w:val="none" w:sz="0" w:space="0" w:color="auto"/>
                                <w:right w:val="none" w:sz="0" w:space="0" w:color="auto"/>
                              </w:divBdr>
                            </w:div>
                            <w:div w:id="432092269">
                              <w:marLeft w:val="0"/>
                              <w:marRight w:val="0"/>
                              <w:marTop w:val="0"/>
                              <w:marBottom w:val="0"/>
                              <w:divBdr>
                                <w:top w:val="none" w:sz="0" w:space="0" w:color="auto"/>
                                <w:left w:val="none" w:sz="0" w:space="0" w:color="auto"/>
                                <w:bottom w:val="none" w:sz="0" w:space="0" w:color="auto"/>
                                <w:right w:val="none" w:sz="0" w:space="0" w:color="auto"/>
                              </w:divBdr>
                            </w:div>
                            <w:div w:id="1418208596">
                              <w:marLeft w:val="0"/>
                              <w:marRight w:val="0"/>
                              <w:marTop w:val="0"/>
                              <w:marBottom w:val="0"/>
                              <w:divBdr>
                                <w:top w:val="none" w:sz="0" w:space="0" w:color="auto"/>
                                <w:left w:val="none" w:sz="0" w:space="0" w:color="auto"/>
                                <w:bottom w:val="none" w:sz="0" w:space="0" w:color="auto"/>
                                <w:right w:val="none" w:sz="0" w:space="0" w:color="auto"/>
                              </w:divBdr>
                            </w:div>
                            <w:div w:id="489098488">
                              <w:marLeft w:val="0"/>
                              <w:marRight w:val="0"/>
                              <w:marTop w:val="0"/>
                              <w:marBottom w:val="0"/>
                              <w:divBdr>
                                <w:top w:val="none" w:sz="0" w:space="0" w:color="auto"/>
                                <w:left w:val="none" w:sz="0" w:space="0" w:color="auto"/>
                                <w:bottom w:val="none" w:sz="0" w:space="0" w:color="auto"/>
                                <w:right w:val="none" w:sz="0" w:space="0" w:color="auto"/>
                              </w:divBdr>
                            </w:div>
                            <w:div w:id="532767095">
                              <w:marLeft w:val="0"/>
                              <w:marRight w:val="0"/>
                              <w:marTop w:val="0"/>
                              <w:marBottom w:val="0"/>
                              <w:divBdr>
                                <w:top w:val="none" w:sz="0" w:space="0" w:color="auto"/>
                                <w:left w:val="none" w:sz="0" w:space="0" w:color="auto"/>
                                <w:bottom w:val="none" w:sz="0" w:space="0" w:color="auto"/>
                                <w:right w:val="none" w:sz="0" w:space="0" w:color="auto"/>
                              </w:divBdr>
                            </w:div>
                            <w:div w:id="1174027604">
                              <w:marLeft w:val="0"/>
                              <w:marRight w:val="0"/>
                              <w:marTop w:val="0"/>
                              <w:marBottom w:val="0"/>
                              <w:divBdr>
                                <w:top w:val="none" w:sz="0" w:space="0" w:color="auto"/>
                                <w:left w:val="none" w:sz="0" w:space="0" w:color="auto"/>
                                <w:bottom w:val="none" w:sz="0" w:space="0" w:color="auto"/>
                                <w:right w:val="none" w:sz="0" w:space="0" w:color="auto"/>
                              </w:divBdr>
                            </w:div>
                            <w:div w:id="1554922221">
                              <w:marLeft w:val="0"/>
                              <w:marRight w:val="0"/>
                              <w:marTop w:val="0"/>
                              <w:marBottom w:val="0"/>
                              <w:divBdr>
                                <w:top w:val="none" w:sz="0" w:space="0" w:color="auto"/>
                                <w:left w:val="none" w:sz="0" w:space="0" w:color="auto"/>
                                <w:bottom w:val="none" w:sz="0" w:space="0" w:color="auto"/>
                                <w:right w:val="none" w:sz="0" w:space="0" w:color="auto"/>
                              </w:divBdr>
                            </w:div>
                            <w:div w:id="505904500">
                              <w:marLeft w:val="0"/>
                              <w:marRight w:val="0"/>
                              <w:marTop w:val="0"/>
                              <w:marBottom w:val="0"/>
                              <w:divBdr>
                                <w:top w:val="none" w:sz="0" w:space="0" w:color="auto"/>
                                <w:left w:val="none" w:sz="0" w:space="0" w:color="auto"/>
                                <w:bottom w:val="none" w:sz="0" w:space="0" w:color="auto"/>
                                <w:right w:val="none" w:sz="0" w:space="0" w:color="auto"/>
                              </w:divBdr>
                            </w:div>
                            <w:div w:id="1954363713">
                              <w:marLeft w:val="0"/>
                              <w:marRight w:val="0"/>
                              <w:marTop w:val="0"/>
                              <w:marBottom w:val="0"/>
                              <w:divBdr>
                                <w:top w:val="none" w:sz="0" w:space="0" w:color="auto"/>
                                <w:left w:val="none" w:sz="0" w:space="0" w:color="auto"/>
                                <w:bottom w:val="none" w:sz="0" w:space="0" w:color="auto"/>
                                <w:right w:val="none" w:sz="0" w:space="0" w:color="auto"/>
                              </w:divBdr>
                            </w:div>
                            <w:div w:id="403332379">
                              <w:marLeft w:val="0"/>
                              <w:marRight w:val="0"/>
                              <w:marTop w:val="0"/>
                              <w:marBottom w:val="0"/>
                              <w:divBdr>
                                <w:top w:val="none" w:sz="0" w:space="0" w:color="auto"/>
                                <w:left w:val="none" w:sz="0" w:space="0" w:color="auto"/>
                                <w:bottom w:val="none" w:sz="0" w:space="0" w:color="auto"/>
                                <w:right w:val="none" w:sz="0" w:space="0" w:color="auto"/>
                              </w:divBdr>
                            </w:div>
                            <w:div w:id="1812555803">
                              <w:marLeft w:val="0"/>
                              <w:marRight w:val="0"/>
                              <w:marTop w:val="0"/>
                              <w:marBottom w:val="0"/>
                              <w:divBdr>
                                <w:top w:val="none" w:sz="0" w:space="0" w:color="auto"/>
                                <w:left w:val="none" w:sz="0" w:space="0" w:color="auto"/>
                                <w:bottom w:val="none" w:sz="0" w:space="0" w:color="auto"/>
                                <w:right w:val="none" w:sz="0" w:space="0" w:color="auto"/>
                              </w:divBdr>
                            </w:div>
                            <w:div w:id="100079230">
                              <w:marLeft w:val="0"/>
                              <w:marRight w:val="0"/>
                              <w:marTop w:val="0"/>
                              <w:marBottom w:val="0"/>
                              <w:divBdr>
                                <w:top w:val="none" w:sz="0" w:space="0" w:color="auto"/>
                                <w:left w:val="none" w:sz="0" w:space="0" w:color="auto"/>
                                <w:bottom w:val="none" w:sz="0" w:space="0" w:color="auto"/>
                                <w:right w:val="none" w:sz="0" w:space="0" w:color="auto"/>
                              </w:divBdr>
                            </w:div>
                            <w:div w:id="2130665976">
                              <w:marLeft w:val="0"/>
                              <w:marRight w:val="0"/>
                              <w:marTop w:val="0"/>
                              <w:marBottom w:val="0"/>
                              <w:divBdr>
                                <w:top w:val="none" w:sz="0" w:space="0" w:color="auto"/>
                                <w:left w:val="none" w:sz="0" w:space="0" w:color="auto"/>
                                <w:bottom w:val="none" w:sz="0" w:space="0" w:color="auto"/>
                                <w:right w:val="none" w:sz="0" w:space="0" w:color="auto"/>
                              </w:divBdr>
                            </w:div>
                            <w:div w:id="137576957">
                              <w:marLeft w:val="0"/>
                              <w:marRight w:val="0"/>
                              <w:marTop w:val="0"/>
                              <w:marBottom w:val="0"/>
                              <w:divBdr>
                                <w:top w:val="none" w:sz="0" w:space="0" w:color="auto"/>
                                <w:left w:val="none" w:sz="0" w:space="0" w:color="auto"/>
                                <w:bottom w:val="none" w:sz="0" w:space="0" w:color="auto"/>
                                <w:right w:val="none" w:sz="0" w:space="0" w:color="auto"/>
                              </w:divBdr>
                            </w:div>
                            <w:div w:id="654646066">
                              <w:marLeft w:val="0"/>
                              <w:marRight w:val="0"/>
                              <w:marTop w:val="0"/>
                              <w:marBottom w:val="0"/>
                              <w:divBdr>
                                <w:top w:val="none" w:sz="0" w:space="0" w:color="auto"/>
                                <w:left w:val="none" w:sz="0" w:space="0" w:color="auto"/>
                                <w:bottom w:val="none" w:sz="0" w:space="0" w:color="auto"/>
                                <w:right w:val="none" w:sz="0" w:space="0" w:color="auto"/>
                              </w:divBdr>
                            </w:div>
                            <w:div w:id="1258907578">
                              <w:marLeft w:val="0"/>
                              <w:marRight w:val="0"/>
                              <w:marTop w:val="0"/>
                              <w:marBottom w:val="0"/>
                              <w:divBdr>
                                <w:top w:val="none" w:sz="0" w:space="0" w:color="auto"/>
                                <w:left w:val="none" w:sz="0" w:space="0" w:color="auto"/>
                                <w:bottom w:val="none" w:sz="0" w:space="0" w:color="auto"/>
                                <w:right w:val="none" w:sz="0" w:space="0" w:color="auto"/>
                              </w:divBdr>
                            </w:div>
                            <w:div w:id="1666350568">
                              <w:marLeft w:val="0"/>
                              <w:marRight w:val="0"/>
                              <w:marTop w:val="0"/>
                              <w:marBottom w:val="0"/>
                              <w:divBdr>
                                <w:top w:val="none" w:sz="0" w:space="0" w:color="auto"/>
                                <w:left w:val="none" w:sz="0" w:space="0" w:color="auto"/>
                                <w:bottom w:val="none" w:sz="0" w:space="0" w:color="auto"/>
                                <w:right w:val="none" w:sz="0" w:space="0" w:color="auto"/>
                              </w:divBdr>
                            </w:div>
                            <w:div w:id="1819301805">
                              <w:marLeft w:val="0"/>
                              <w:marRight w:val="0"/>
                              <w:marTop w:val="0"/>
                              <w:marBottom w:val="0"/>
                              <w:divBdr>
                                <w:top w:val="none" w:sz="0" w:space="0" w:color="auto"/>
                                <w:left w:val="none" w:sz="0" w:space="0" w:color="auto"/>
                                <w:bottom w:val="none" w:sz="0" w:space="0" w:color="auto"/>
                                <w:right w:val="none" w:sz="0" w:space="0" w:color="auto"/>
                              </w:divBdr>
                            </w:div>
                            <w:div w:id="406458670">
                              <w:marLeft w:val="0"/>
                              <w:marRight w:val="0"/>
                              <w:marTop w:val="0"/>
                              <w:marBottom w:val="0"/>
                              <w:divBdr>
                                <w:top w:val="none" w:sz="0" w:space="0" w:color="auto"/>
                                <w:left w:val="none" w:sz="0" w:space="0" w:color="auto"/>
                                <w:bottom w:val="none" w:sz="0" w:space="0" w:color="auto"/>
                                <w:right w:val="none" w:sz="0" w:space="0" w:color="auto"/>
                              </w:divBdr>
                            </w:div>
                            <w:div w:id="393545216">
                              <w:marLeft w:val="0"/>
                              <w:marRight w:val="0"/>
                              <w:marTop w:val="0"/>
                              <w:marBottom w:val="0"/>
                              <w:divBdr>
                                <w:top w:val="none" w:sz="0" w:space="0" w:color="auto"/>
                                <w:left w:val="none" w:sz="0" w:space="0" w:color="auto"/>
                                <w:bottom w:val="none" w:sz="0" w:space="0" w:color="auto"/>
                                <w:right w:val="none" w:sz="0" w:space="0" w:color="auto"/>
                              </w:divBdr>
                            </w:div>
                            <w:div w:id="972250528">
                              <w:marLeft w:val="0"/>
                              <w:marRight w:val="0"/>
                              <w:marTop w:val="0"/>
                              <w:marBottom w:val="0"/>
                              <w:divBdr>
                                <w:top w:val="none" w:sz="0" w:space="0" w:color="auto"/>
                                <w:left w:val="none" w:sz="0" w:space="0" w:color="auto"/>
                                <w:bottom w:val="none" w:sz="0" w:space="0" w:color="auto"/>
                                <w:right w:val="none" w:sz="0" w:space="0" w:color="auto"/>
                              </w:divBdr>
                            </w:div>
                            <w:div w:id="1723287005">
                              <w:marLeft w:val="0"/>
                              <w:marRight w:val="0"/>
                              <w:marTop w:val="0"/>
                              <w:marBottom w:val="0"/>
                              <w:divBdr>
                                <w:top w:val="none" w:sz="0" w:space="0" w:color="auto"/>
                                <w:left w:val="none" w:sz="0" w:space="0" w:color="auto"/>
                                <w:bottom w:val="none" w:sz="0" w:space="0" w:color="auto"/>
                                <w:right w:val="none" w:sz="0" w:space="0" w:color="auto"/>
                              </w:divBdr>
                            </w:div>
                            <w:div w:id="1029993319">
                              <w:marLeft w:val="0"/>
                              <w:marRight w:val="0"/>
                              <w:marTop w:val="0"/>
                              <w:marBottom w:val="0"/>
                              <w:divBdr>
                                <w:top w:val="none" w:sz="0" w:space="0" w:color="auto"/>
                                <w:left w:val="none" w:sz="0" w:space="0" w:color="auto"/>
                                <w:bottom w:val="none" w:sz="0" w:space="0" w:color="auto"/>
                                <w:right w:val="none" w:sz="0" w:space="0" w:color="auto"/>
                              </w:divBdr>
                            </w:div>
                            <w:div w:id="1537809722">
                              <w:marLeft w:val="0"/>
                              <w:marRight w:val="0"/>
                              <w:marTop w:val="0"/>
                              <w:marBottom w:val="0"/>
                              <w:divBdr>
                                <w:top w:val="none" w:sz="0" w:space="0" w:color="auto"/>
                                <w:left w:val="none" w:sz="0" w:space="0" w:color="auto"/>
                                <w:bottom w:val="none" w:sz="0" w:space="0" w:color="auto"/>
                                <w:right w:val="none" w:sz="0" w:space="0" w:color="auto"/>
                              </w:divBdr>
                            </w:div>
                            <w:div w:id="1306743215">
                              <w:marLeft w:val="0"/>
                              <w:marRight w:val="0"/>
                              <w:marTop w:val="0"/>
                              <w:marBottom w:val="0"/>
                              <w:divBdr>
                                <w:top w:val="none" w:sz="0" w:space="0" w:color="auto"/>
                                <w:left w:val="none" w:sz="0" w:space="0" w:color="auto"/>
                                <w:bottom w:val="none" w:sz="0" w:space="0" w:color="auto"/>
                                <w:right w:val="none" w:sz="0" w:space="0" w:color="auto"/>
                              </w:divBdr>
                            </w:div>
                            <w:div w:id="1396466066">
                              <w:marLeft w:val="0"/>
                              <w:marRight w:val="0"/>
                              <w:marTop w:val="0"/>
                              <w:marBottom w:val="0"/>
                              <w:divBdr>
                                <w:top w:val="none" w:sz="0" w:space="0" w:color="auto"/>
                                <w:left w:val="none" w:sz="0" w:space="0" w:color="auto"/>
                                <w:bottom w:val="none" w:sz="0" w:space="0" w:color="auto"/>
                                <w:right w:val="none" w:sz="0" w:space="0" w:color="auto"/>
                              </w:divBdr>
                            </w:div>
                            <w:div w:id="915167417">
                              <w:marLeft w:val="0"/>
                              <w:marRight w:val="0"/>
                              <w:marTop w:val="0"/>
                              <w:marBottom w:val="0"/>
                              <w:divBdr>
                                <w:top w:val="none" w:sz="0" w:space="0" w:color="auto"/>
                                <w:left w:val="none" w:sz="0" w:space="0" w:color="auto"/>
                                <w:bottom w:val="none" w:sz="0" w:space="0" w:color="auto"/>
                                <w:right w:val="none" w:sz="0" w:space="0" w:color="auto"/>
                              </w:divBdr>
                            </w:div>
                            <w:div w:id="1250120905">
                              <w:marLeft w:val="0"/>
                              <w:marRight w:val="0"/>
                              <w:marTop w:val="0"/>
                              <w:marBottom w:val="0"/>
                              <w:divBdr>
                                <w:top w:val="none" w:sz="0" w:space="0" w:color="auto"/>
                                <w:left w:val="none" w:sz="0" w:space="0" w:color="auto"/>
                                <w:bottom w:val="none" w:sz="0" w:space="0" w:color="auto"/>
                                <w:right w:val="none" w:sz="0" w:space="0" w:color="auto"/>
                              </w:divBdr>
                            </w:div>
                            <w:div w:id="926620052">
                              <w:marLeft w:val="0"/>
                              <w:marRight w:val="0"/>
                              <w:marTop w:val="0"/>
                              <w:marBottom w:val="0"/>
                              <w:divBdr>
                                <w:top w:val="none" w:sz="0" w:space="0" w:color="auto"/>
                                <w:left w:val="none" w:sz="0" w:space="0" w:color="auto"/>
                                <w:bottom w:val="none" w:sz="0" w:space="0" w:color="auto"/>
                                <w:right w:val="none" w:sz="0" w:space="0" w:color="auto"/>
                              </w:divBdr>
                            </w:div>
                            <w:div w:id="1394963985">
                              <w:marLeft w:val="0"/>
                              <w:marRight w:val="0"/>
                              <w:marTop w:val="0"/>
                              <w:marBottom w:val="0"/>
                              <w:divBdr>
                                <w:top w:val="none" w:sz="0" w:space="0" w:color="auto"/>
                                <w:left w:val="none" w:sz="0" w:space="0" w:color="auto"/>
                                <w:bottom w:val="none" w:sz="0" w:space="0" w:color="auto"/>
                                <w:right w:val="none" w:sz="0" w:space="0" w:color="auto"/>
                              </w:divBdr>
                            </w:div>
                            <w:div w:id="622811194">
                              <w:marLeft w:val="0"/>
                              <w:marRight w:val="0"/>
                              <w:marTop w:val="0"/>
                              <w:marBottom w:val="0"/>
                              <w:divBdr>
                                <w:top w:val="none" w:sz="0" w:space="0" w:color="auto"/>
                                <w:left w:val="none" w:sz="0" w:space="0" w:color="auto"/>
                                <w:bottom w:val="none" w:sz="0" w:space="0" w:color="auto"/>
                                <w:right w:val="none" w:sz="0" w:space="0" w:color="auto"/>
                              </w:divBdr>
                            </w:div>
                            <w:div w:id="1455171650">
                              <w:marLeft w:val="0"/>
                              <w:marRight w:val="0"/>
                              <w:marTop w:val="0"/>
                              <w:marBottom w:val="0"/>
                              <w:divBdr>
                                <w:top w:val="none" w:sz="0" w:space="0" w:color="auto"/>
                                <w:left w:val="none" w:sz="0" w:space="0" w:color="auto"/>
                                <w:bottom w:val="none" w:sz="0" w:space="0" w:color="auto"/>
                                <w:right w:val="none" w:sz="0" w:space="0" w:color="auto"/>
                              </w:divBdr>
                            </w:div>
                            <w:div w:id="2136295224">
                              <w:marLeft w:val="0"/>
                              <w:marRight w:val="0"/>
                              <w:marTop w:val="0"/>
                              <w:marBottom w:val="0"/>
                              <w:divBdr>
                                <w:top w:val="none" w:sz="0" w:space="0" w:color="auto"/>
                                <w:left w:val="none" w:sz="0" w:space="0" w:color="auto"/>
                                <w:bottom w:val="none" w:sz="0" w:space="0" w:color="auto"/>
                                <w:right w:val="none" w:sz="0" w:space="0" w:color="auto"/>
                              </w:divBdr>
                            </w:div>
                            <w:div w:id="1419448720">
                              <w:marLeft w:val="0"/>
                              <w:marRight w:val="0"/>
                              <w:marTop w:val="0"/>
                              <w:marBottom w:val="0"/>
                              <w:divBdr>
                                <w:top w:val="none" w:sz="0" w:space="0" w:color="auto"/>
                                <w:left w:val="none" w:sz="0" w:space="0" w:color="auto"/>
                                <w:bottom w:val="none" w:sz="0" w:space="0" w:color="auto"/>
                                <w:right w:val="none" w:sz="0" w:space="0" w:color="auto"/>
                              </w:divBdr>
                            </w:div>
                            <w:div w:id="1441727188">
                              <w:marLeft w:val="0"/>
                              <w:marRight w:val="0"/>
                              <w:marTop w:val="0"/>
                              <w:marBottom w:val="0"/>
                              <w:divBdr>
                                <w:top w:val="none" w:sz="0" w:space="0" w:color="auto"/>
                                <w:left w:val="none" w:sz="0" w:space="0" w:color="auto"/>
                                <w:bottom w:val="none" w:sz="0" w:space="0" w:color="auto"/>
                                <w:right w:val="none" w:sz="0" w:space="0" w:color="auto"/>
                              </w:divBdr>
                            </w:div>
                            <w:div w:id="66533151">
                              <w:marLeft w:val="0"/>
                              <w:marRight w:val="0"/>
                              <w:marTop w:val="0"/>
                              <w:marBottom w:val="0"/>
                              <w:divBdr>
                                <w:top w:val="none" w:sz="0" w:space="0" w:color="auto"/>
                                <w:left w:val="none" w:sz="0" w:space="0" w:color="auto"/>
                                <w:bottom w:val="none" w:sz="0" w:space="0" w:color="auto"/>
                                <w:right w:val="none" w:sz="0" w:space="0" w:color="auto"/>
                              </w:divBdr>
                            </w:div>
                            <w:div w:id="1145702590">
                              <w:marLeft w:val="0"/>
                              <w:marRight w:val="0"/>
                              <w:marTop w:val="0"/>
                              <w:marBottom w:val="0"/>
                              <w:divBdr>
                                <w:top w:val="none" w:sz="0" w:space="0" w:color="auto"/>
                                <w:left w:val="none" w:sz="0" w:space="0" w:color="auto"/>
                                <w:bottom w:val="none" w:sz="0" w:space="0" w:color="auto"/>
                                <w:right w:val="none" w:sz="0" w:space="0" w:color="auto"/>
                              </w:divBdr>
                            </w:div>
                            <w:div w:id="1904639897">
                              <w:marLeft w:val="0"/>
                              <w:marRight w:val="0"/>
                              <w:marTop w:val="0"/>
                              <w:marBottom w:val="0"/>
                              <w:divBdr>
                                <w:top w:val="none" w:sz="0" w:space="0" w:color="auto"/>
                                <w:left w:val="none" w:sz="0" w:space="0" w:color="auto"/>
                                <w:bottom w:val="none" w:sz="0" w:space="0" w:color="auto"/>
                                <w:right w:val="none" w:sz="0" w:space="0" w:color="auto"/>
                              </w:divBdr>
                            </w:div>
                            <w:div w:id="823930499">
                              <w:marLeft w:val="0"/>
                              <w:marRight w:val="0"/>
                              <w:marTop w:val="0"/>
                              <w:marBottom w:val="0"/>
                              <w:divBdr>
                                <w:top w:val="none" w:sz="0" w:space="0" w:color="auto"/>
                                <w:left w:val="none" w:sz="0" w:space="0" w:color="auto"/>
                                <w:bottom w:val="none" w:sz="0" w:space="0" w:color="auto"/>
                                <w:right w:val="none" w:sz="0" w:space="0" w:color="auto"/>
                              </w:divBdr>
                            </w:div>
                            <w:div w:id="1990787252">
                              <w:marLeft w:val="0"/>
                              <w:marRight w:val="0"/>
                              <w:marTop w:val="0"/>
                              <w:marBottom w:val="0"/>
                              <w:divBdr>
                                <w:top w:val="none" w:sz="0" w:space="0" w:color="auto"/>
                                <w:left w:val="none" w:sz="0" w:space="0" w:color="auto"/>
                                <w:bottom w:val="none" w:sz="0" w:space="0" w:color="auto"/>
                                <w:right w:val="none" w:sz="0" w:space="0" w:color="auto"/>
                              </w:divBdr>
                            </w:div>
                            <w:div w:id="77558897">
                              <w:marLeft w:val="0"/>
                              <w:marRight w:val="0"/>
                              <w:marTop w:val="0"/>
                              <w:marBottom w:val="0"/>
                              <w:divBdr>
                                <w:top w:val="none" w:sz="0" w:space="0" w:color="auto"/>
                                <w:left w:val="none" w:sz="0" w:space="0" w:color="auto"/>
                                <w:bottom w:val="none" w:sz="0" w:space="0" w:color="auto"/>
                                <w:right w:val="none" w:sz="0" w:space="0" w:color="auto"/>
                              </w:divBdr>
                            </w:div>
                            <w:div w:id="838272597">
                              <w:marLeft w:val="0"/>
                              <w:marRight w:val="0"/>
                              <w:marTop w:val="0"/>
                              <w:marBottom w:val="0"/>
                              <w:divBdr>
                                <w:top w:val="none" w:sz="0" w:space="0" w:color="auto"/>
                                <w:left w:val="none" w:sz="0" w:space="0" w:color="auto"/>
                                <w:bottom w:val="none" w:sz="0" w:space="0" w:color="auto"/>
                                <w:right w:val="none" w:sz="0" w:space="0" w:color="auto"/>
                              </w:divBdr>
                            </w:div>
                            <w:div w:id="1791364069">
                              <w:marLeft w:val="0"/>
                              <w:marRight w:val="0"/>
                              <w:marTop w:val="0"/>
                              <w:marBottom w:val="0"/>
                              <w:divBdr>
                                <w:top w:val="none" w:sz="0" w:space="0" w:color="auto"/>
                                <w:left w:val="none" w:sz="0" w:space="0" w:color="auto"/>
                                <w:bottom w:val="none" w:sz="0" w:space="0" w:color="auto"/>
                                <w:right w:val="none" w:sz="0" w:space="0" w:color="auto"/>
                              </w:divBdr>
                            </w:div>
                            <w:div w:id="1700617111">
                              <w:marLeft w:val="0"/>
                              <w:marRight w:val="0"/>
                              <w:marTop w:val="0"/>
                              <w:marBottom w:val="0"/>
                              <w:divBdr>
                                <w:top w:val="none" w:sz="0" w:space="0" w:color="auto"/>
                                <w:left w:val="none" w:sz="0" w:space="0" w:color="auto"/>
                                <w:bottom w:val="none" w:sz="0" w:space="0" w:color="auto"/>
                                <w:right w:val="none" w:sz="0" w:space="0" w:color="auto"/>
                              </w:divBdr>
                            </w:div>
                            <w:div w:id="1615212183">
                              <w:marLeft w:val="0"/>
                              <w:marRight w:val="0"/>
                              <w:marTop w:val="0"/>
                              <w:marBottom w:val="0"/>
                              <w:divBdr>
                                <w:top w:val="none" w:sz="0" w:space="0" w:color="auto"/>
                                <w:left w:val="none" w:sz="0" w:space="0" w:color="auto"/>
                                <w:bottom w:val="none" w:sz="0" w:space="0" w:color="auto"/>
                                <w:right w:val="none" w:sz="0" w:space="0" w:color="auto"/>
                              </w:divBdr>
                            </w:div>
                            <w:div w:id="1578976604">
                              <w:marLeft w:val="0"/>
                              <w:marRight w:val="0"/>
                              <w:marTop w:val="0"/>
                              <w:marBottom w:val="0"/>
                              <w:divBdr>
                                <w:top w:val="none" w:sz="0" w:space="0" w:color="auto"/>
                                <w:left w:val="none" w:sz="0" w:space="0" w:color="auto"/>
                                <w:bottom w:val="none" w:sz="0" w:space="0" w:color="auto"/>
                                <w:right w:val="none" w:sz="0" w:space="0" w:color="auto"/>
                              </w:divBdr>
                            </w:div>
                            <w:div w:id="152717665">
                              <w:marLeft w:val="0"/>
                              <w:marRight w:val="0"/>
                              <w:marTop w:val="0"/>
                              <w:marBottom w:val="0"/>
                              <w:divBdr>
                                <w:top w:val="none" w:sz="0" w:space="0" w:color="auto"/>
                                <w:left w:val="none" w:sz="0" w:space="0" w:color="auto"/>
                                <w:bottom w:val="none" w:sz="0" w:space="0" w:color="auto"/>
                                <w:right w:val="none" w:sz="0" w:space="0" w:color="auto"/>
                              </w:divBdr>
                            </w:div>
                            <w:div w:id="893275971">
                              <w:marLeft w:val="0"/>
                              <w:marRight w:val="0"/>
                              <w:marTop w:val="0"/>
                              <w:marBottom w:val="0"/>
                              <w:divBdr>
                                <w:top w:val="none" w:sz="0" w:space="0" w:color="auto"/>
                                <w:left w:val="none" w:sz="0" w:space="0" w:color="auto"/>
                                <w:bottom w:val="none" w:sz="0" w:space="0" w:color="auto"/>
                                <w:right w:val="none" w:sz="0" w:space="0" w:color="auto"/>
                              </w:divBdr>
                            </w:div>
                            <w:div w:id="1474326391">
                              <w:marLeft w:val="0"/>
                              <w:marRight w:val="0"/>
                              <w:marTop w:val="0"/>
                              <w:marBottom w:val="0"/>
                              <w:divBdr>
                                <w:top w:val="none" w:sz="0" w:space="0" w:color="auto"/>
                                <w:left w:val="none" w:sz="0" w:space="0" w:color="auto"/>
                                <w:bottom w:val="none" w:sz="0" w:space="0" w:color="auto"/>
                                <w:right w:val="none" w:sz="0" w:space="0" w:color="auto"/>
                              </w:divBdr>
                            </w:div>
                            <w:div w:id="1220705638">
                              <w:marLeft w:val="0"/>
                              <w:marRight w:val="0"/>
                              <w:marTop w:val="0"/>
                              <w:marBottom w:val="0"/>
                              <w:divBdr>
                                <w:top w:val="none" w:sz="0" w:space="0" w:color="auto"/>
                                <w:left w:val="none" w:sz="0" w:space="0" w:color="auto"/>
                                <w:bottom w:val="none" w:sz="0" w:space="0" w:color="auto"/>
                                <w:right w:val="none" w:sz="0" w:space="0" w:color="auto"/>
                              </w:divBdr>
                            </w:div>
                            <w:div w:id="1437671124">
                              <w:marLeft w:val="0"/>
                              <w:marRight w:val="0"/>
                              <w:marTop w:val="0"/>
                              <w:marBottom w:val="0"/>
                              <w:divBdr>
                                <w:top w:val="none" w:sz="0" w:space="0" w:color="auto"/>
                                <w:left w:val="none" w:sz="0" w:space="0" w:color="auto"/>
                                <w:bottom w:val="none" w:sz="0" w:space="0" w:color="auto"/>
                                <w:right w:val="none" w:sz="0" w:space="0" w:color="auto"/>
                              </w:divBdr>
                            </w:div>
                            <w:div w:id="1155561924">
                              <w:marLeft w:val="0"/>
                              <w:marRight w:val="0"/>
                              <w:marTop w:val="0"/>
                              <w:marBottom w:val="0"/>
                              <w:divBdr>
                                <w:top w:val="none" w:sz="0" w:space="0" w:color="auto"/>
                                <w:left w:val="none" w:sz="0" w:space="0" w:color="auto"/>
                                <w:bottom w:val="none" w:sz="0" w:space="0" w:color="auto"/>
                                <w:right w:val="none" w:sz="0" w:space="0" w:color="auto"/>
                              </w:divBdr>
                            </w:div>
                            <w:div w:id="1883440823">
                              <w:marLeft w:val="0"/>
                              <w:marRight w:val="0"/>
                              <w:marTop w:val="0"/>
                              <w:marBottom w:val="0"/>
                              <w:divBdr>
                                <w:top w:val="none" w:sz="0" w:space="0" w:color="auto"/>
                                <w:left w:val="none" w:sz="0" w:space="0" w:color="auto"/>
                                <w:bottom w:val="none" w:sz="0" w:space="0" w:color="auto"/>
                                <w:right w:val="none" w:sz="0" w:space="0" w:color="auto"/>
                              </w:divBdr>
                            </w:div>
                            <w:div w:id="873612839">
                              <w:marLeft w:val="0"/>
                              <w:marRight w:val="0"/>
                              <w:marTop w:val="0"/>
                              <w:marBottom w:val="0"/>
                              <w:divBdr>
                                <w:top w:val="none" w:sz="0" w:space="0" w:color="auto"/>
                                <w:left w:val="none" w:sz="0" w:space="0" w:color="auto"/>
                                <w:bottom w:val="none" w:sz="0" w:space="0" w:color="auto"/>
                                <w:right w:val="none" w:sz="0" w:space="0" w:color="auto"/>
                              </w:divBdr>
                            </w:div>
                            <w:div w:id="1444350144">
                              <w:marLeft w:val="0"/>
                              <w:marRight w:val="0"/>
                              <w:marTop w:val="0"/>
                              <w:marBottom w:val="0"/>
                              <w:divBdr>
                                <w:top w:val="none" w:sz="0" w:space="0" w:color="auto"/>
                                <w:left w:val="none" w:sz="0" w:space="0" w:color="auto"/>
                                <w:bottom w:val="none" w:sz="0" w:space="0" w:color="auto"/>
                                <w:right w:val="none" w:sz="0" w:space="0" w:color="auto"/>
                              </w:divBdr>
                            </w:div>
                            <w:div w:id="876166865">
                              <w:marLeft w:val="0"/>
                              <w:marRight w:val="0"/>
                              <w:marTop w:val="0"/>
                              <w:marBottom w:val="0"/>
                              <w:divBdr>
                                <w:top w:val="none" w:sz="0" w:space="0" w:color="auto"/>
                                <w:left w:val="none" w:sz="0" w:space="0" w:color="auto"/>
                                <w:bottom w:val="none" w:sz="0" w:space="0" w:color="auto"/>
                                <w:right w:val="none" w:sz="0" w:space="0" w:color="auto"/>
                              </w:divBdr>
                            </w:div>
                            <w:div w:id="1780296936">
                              <w:marLeft w:val="0"/>
                              <w:marRight w:val="0"/>
                              <w:marTop w:val="0"/>
                              <w:marBottom w:val="0"/>
                              <w:divBdr>
                                <w:top w:val="none" w:sz="0" w:space="0" w:color="auto"/>
                                <w:left w:val="none" w:sz="0" w:space="0" w:color="auto"/>
                                <w:bottom w:val="none" w:sz="0" w:space="0" w:color="auto"/>
                                <w:right w:val="none" w:sz="0" w:space="0" w:color="auto"/>
                              </w:divBdr>
                            </w:div>
                            <w:div w:id="1633514687">
                              <w:marLeft w:val="0"/>
                              <w:marRight w:val="0"/>
                              <w:marTop w:val="0"/>
                              <w:marBottom w:val="0"/>
                              <w:divBdr>
                                <w:top w:val="none" w:sz="0" w:space="0" w:color="auto"/>
                                <w:left w:val="none" w:sz="0" w:space="0" w:color="auto"/>
                                <w:bottom w:val="none" w:sz="0" w:space="0" w:color="auto"/>
                                <w:right w:val="none" w:sz="0" w:space="0" w:color="auto"/>
                              </w:divBdr>
                            </w:div>
                            <w:div w:id="1684437343">
                              <w:marLeft w:val="0"/>
                              <w:marRight w:val="0"/>
                              <w:marTop w:val="0"/>
                              <w:marBottom w:val="0"/>
                              <w:divBdr>
                                <w:top w:val="none" w:sz="0" w:space="0" w:color="auto"/>
                                <w:left w:val="none" w:sz="0" w:space="0" w:color="auto"/>
                                <w:bottom w:val="none" w:sz="0" w:space="0" w:color="auto"/>
                                <w:right w:val="none" w:sz="0" w:space="0" w:color="auto"/>
                              </w:divBdr>
                            </w:div>
                            <w:div w:id="1321737434">
                              <w:marLeft w:val="0"/>
                              <w:marRight w:val="0"/>
                              <w:marTop w:val="0"/>
                              <w:marBottom w:val="0"/>
                              <w:divBdr>
                                <w:top w:val="none" w:sz="0" w:space="0" w:color="auto"/>
                                <w:left w:val="none" w:sz="0" w:space="0" w:color="auto"/>
                                <w:bottom w:val="none" w:sz="0" w:space="0" w:color="auto"/>
                                <w:right w:val="none" w:sz="0" w:space="0" w:color="auto"/>
                              </w:divBdr>
                            </w:div>
                            <w:div w:id="1480070944">
                              <w:marLeft w:val="0"/>
                              <w:marRight w:val="0"/>
                              <w:marTop w:val="0"/>
                              <w:marBottom w:val="0"/>
                              <w:divBdr>
                                <w:top w:val="none" w:sz="0" w:space="0" w:color="auto"/>
                                <w:left w:val="none" w:sz="0" w:space="0" w:color="auto"/>
                                <w:bottom w:val="none" w:sz="0" w:space="0" w:color="auto"/>
                                <w:right w:val="none" w:sz="0" w:space="0" w:color="auto"/>
                              </w:divBdr>
                            </w:div>
                            <w:div w:id="855390484">
                              <w:marLeft w:val="0"/>
                              <w:marRight w:val="0"/>
                              <w:marTop w:val="0"/>
                              <w:marBottom w:val="0"/>
                              <w:divBdr>
                                <w:top w:val="none" w:sz="0" w:space="0" w:color="auto"/>
                                <w:left w:val="none" w:sz="0" w:space="0" w:color="auto"/>
                                <w:bottom w:val="none" w:sz="0" w:space="0" w:color="auto"/>
                                <w:right w:val="none" w:sz="0" w:space="0" w:color="auto"/>
                              </w:divBdr>
                            </w:div>
                            <w:div w:id="1185940176">
                              <w:marLeft w:val="0"/>
                              <w:marRight w:val="0"/>
                              <w:marTop w:val="0"/>
                              <w:marBottom w:val="0"/>
                              <w:divBdr>
                                <w:top w:val="none" w:sz="0" w:space="0" w:color="auto"/>
                                <w:left w:val="none" w:sz="0" w:space="0" w:color="auto"/>
                                <w:bottom w:val="none" w:sz="0" w:space="0" w:color="auto"/>
                                <w:right w:val="none" w:sz="0" w:space="0" w:color="auto"/>
                              </w:divBdr>
                            </w:div>
                            <w:div w:id="2028823398">
                              <w:marLeft w:val="0"/>
                              <w:marRight w:val="0"/>
                              <w:marTop w:val="0"/>
                              <w:marBottom w:val="0"/>
                              <w:divBdr>
                                <w:top w:val="none" w:sz="0" w:space="0" w:color="auto"/>
                                <w:left w:val="none" w:sz="0" w:space="0" w:color="auto"/>
                                <w:bottom w:val="none" w:sz="0" w:space="0" w:color="auto"/>
                                <w:right w:val="none" w:sz="0" w:space="0" w:color="auto"/>
                              </w:divBdr>
                            </w:div>
                            <w:div w:id="2014800732">
                              <w:marLeft w:val="0"/>
                              <w:marRight w:val="0"/>
                              <w:marTop w:val="0"/>
                              <w:marBottom w:val="0"/>
                              <w:divBdr>
                                <w:top w:val="none" w:sz="0" w:space="0" w:color="auto"/>
                                <w:left w:val="none" w:sz="0" w:space="0" w:color="auto"/>
                                <w:bottom w:val="none" w:sz="0" w:space="0" w:color="auto"/>
                                <w:right w:val="none" w:sz="0" w:space="0" w:color="auto"/>
                              </w:divBdr>
                            </w:div>
                            <w:div w:id="1344553409">
                              <w:marLeft w:val="0"/>
                              <w:marRight w:val="0"/>
                              <w:marTop w:val="0"/>
                              <w:marBottom w:val="0"/>
                              <w:divBdr>
                                <w:top w:val="none" w:sz="0" w:space="0" w:color="auto"/>
                                <w:left w:val="none" w:sz="0" w:space="0" w:color="auto"/>
                                <w:bottom w:val="none" w:sz="0" w:space="0" w:color="auto"/>
                                <w:right w:val="none" w:sz="0" w:space="0" w:color="auto"/>
                              </w:divBdr>
                            </w:div>
                            <w:div w:id="914123428">
                              <w:marLeft w:val="0"/>
                              <w:marRight w:val="0"/>
                              <w:marTop w:val="0"/>
                              <w:marBottom w:val="0"/>
                              <w:divBdr>
                                <w:top w:val="none" w:sz="0" w:space="0" w:color="auto"/>
                                <w:left w:val="none" w:sz="0" w:space="0" w:color="auto"/>
                                <w:bottom w:val="none" w:sz="0" w:space="0" w:color="auto"/>
                                <w:right w:val="none" w:sz="0" w:space="0" w:color="auto"/>
                              </w:divBdr>
                            </w:div>
                            <w:div w:id="838807574">
                              <w:marLeft w:val="0"/>
                              <w:marRight w:val="0"/>
                              <w:marTop w:val="0"/>
                              <w:marBottom w:val="0"/>
                              <w:divBdr>
                                <w:top w:val="none" w:sz="0" w:space="0" w:color="auto"/>
                                <w:left w:val="none" w:sz="0" w:space="0" w:color="auto"/>
                                <w:bottom w:val="none" w:sz="0" w:space="0" w:color="auto"/>
                                <w:right w:val="none" w:sz="0" w:space="0" w:color="auto"/>
                              </w:divBdr>
                            </w:div>
                            <w:div w:id="1528985093">
                              <w:marLeft w:val="0"/>
                              <w:marRight w:val="0"/>
                              <w:marTop w:val="0"/>
                              <w:marBottom w:val="0"/>
                              <w:divBdr>
                                <w:top w:val="none" w:sz="0" w:space="0" w:color="auto"/>
                                <w:left w:val="none" w:sz="0" w:space="0" w:color="auto"/>
                                <w:bottom w:val="none" w:sz="0" w:space="0" w:color="auto"/>
                                <w:right w:val="none" w:sz="0" w:space="0" w:color="auto"/>
                              </w:divBdr>
                            </w:div>
                            <w:div w:id="1146123322">
                              <w:marLeft w:val="0"/>
                              <w:marRight w:val="0"/>
                              <w:marTop w:val="0"/>
                              <w:marBottom w:val="0"/>
                              <w:divBdr>
                                <w:top w:val="none" w:sz="0" w:space="0" w:color="auto"/>
                                <w:left w:val="none" w:sz="0" w:space="0" w:color="auto"/>
                                <w:bottom w:val="none" w:sz="0" w:space="0" w:color="auto"/>
                                <w:right w:val="none" w:sz="0" w:space="0" w:color="auto"/>
                              </w:divBdr>
                            </w:div>
                            <w:div w:id="66193456">
                              <w:marLeft w:val="0"/>
                              <w:marRight w:val="0"/>
                              <w:marTop w:val="0"/>
                              <w:marBottom w:val="0"/>
                              <w:divBdr>
                                <w:top w:val="none" w:sz="0" w:space="0" w:color="auto"/>
                                <w:left w:val="none" w:sz="0" w:space="0" w:color="auto"/>
                                <w:bottom w:val="none" w:sz="0" w:space="0" w:color="auto"/>
                                <w:right w:val="none" w:sz="0" w:space="0" w:color="auto"/>
                              </w:divBdr>
                            </w:div>
                            <w:div w:id="875629298">
                              <w:marLeft w:val="0"/>
                              <w:marRight w:val="0"/>
                              <w:marTop w:val="0"/>
                              <w:marBottom w:val="0"/>
                              <w:divBdr>
                                <w:top w:val="none" w:sz="0" w:space="0" w:color="auto"/>
                                <w:left w:val="none" w:sz="0" w:space="0" w:color="auto"/>
                                <w:bottom w:val="none" w:sz="0" w:space="0" w:color="auto"/>
                                <w:right w:val="none" w:sz="0" w:space="0" w:color="auto"/>
                              </w:divBdr>
                            </w:div>
                            <w:div w:id="1886721534">
                              <w:marLeft w:val="0"/>
                              <w:marRight w:val="0"/>
                              <w:marTop w:val="0"/>
                              <w:marBottom w:val="0"/>
                              <w:divBdr>
                                <w:top w:val="none" w:sz="0" w:space="0" w:color="auto"/>
                                <w:left w:val="none" w:sz="0" w:space="0" w:color="auto"/>
                                <w:bottom w:val="none" w:sz="0" w:space="0" w:color="auto"/>
                                <w:right w:val="none" w:sz="0" w:space="0" w:color="auto"/>
                              </w:divBdr>
                            </w:div>
                            <w:div w:id="994140340">
                              <w:marLeft w:val="0"/>
                              <w:marRight w:val="0"/>
                              <w:marTop w:val="0"/>
                              <w:marBottom w:val="0"/>
                              <w:divBdr>
                                <w:top w:val="none" w:sz="0" w:space="0" w:color="auto"/>
                                <w:left w:val="none" w:sz="0" w:space="0" w:color="auto"/>
                                <w:bottom w:val="none" w:sz="0" w:space="0" w:color="auto"/>
                                <w:right w:val="none" w:sz="0" w:space="0" w:color="auto"/>
                              </w:divBdr>
                            </w:div>
                            <w:div w:id="183128518">
                              <w:marLeft w:val="0"/>
                              <w:marRight w:val="0"/>
                              <w:marTop w:val="0"/>
                              <w:marBottom w:val="0"/>
                              <w:divBdr>
                                <w:top w:val="none" w:sz="0" w:space="0" w:color="auto"/>
                                <w:left w:val="none" w:sz="0" w:space="0" w:color="auto"/>
                                <w:bottom w:val="none" w:sz="0" w:space="0" w:color="auto"/>
                                <w:right w:val="none" w:sz="0" w:space="0" w:color="auto"/>
                              </w:divBdr>
                            </w:div>
                            <w:div w:id="900794445">
                              <w:marLeft w:val="0"/>
                              <w:marRight w:val="0"/>
                              <w:marTop w:val="0"/>
                              <w:marBottom w:val="0"/>
                              <w:divBdr>
                                <w:top w:val="none" w:sz="0" w:space="0" w:color="auto"/>
                                <w:left w:val="none" w:sz="0" w:space="0" w:color="auto"/>
                                <w:bottom w:val="none" w:sz="0" w:space="0" w:color="auto"/>
                                <w:right w:val="none" w:sz="0" w:space="0" w:color="auto"/>
                              </w:divBdr>
                            </w:div>
                            <w:div w:id="166749179">
                              <w:marLeft w:val="0"/>
                              <w:marRight w:val="0"/>
                              <w:marTop w:val="0"/>
                              <w:marBottom w:val="0"/>
                              <w:divBdr>
                                <w:top w:val="none" w:sz="0" w:space="0" w:color="auto"/>
                                <w:left w:val="none" w:sz="0" w:space="0" w:color="auto"/>
                                <w:bottom w:val="none" w:sz="0" w:space="0" w:color="auto"/>
                                <w:right w:val="none" w:sz="0" w:space="0" w:color="auto"/>
                              </w:divBdr>
                            </w:div>
                            <w:div w:id="1002127136">
                              <w:marLeft w:val="0"/>
                              <w:marRight w:val="0"/>
                              <w:marTop w:val="0"/>
                              <w:marBottom w:val="0"/>
                              <w:divBdr>
                                <w:top w:val="none" w:sz="0" w:space="0" w:color="auto"/>
                                <w:left w:val="none" w:sz="0" w:space="0" w:color="auto"/>
                                <w:bottom w:val="none" w:sz="0" w:space="0" w:color="auto"/>
                                <w:right w:val="none" w:sz="0" w:space="0" w:color="auto"/>
                              </w:divBdr>
                            </w:div>
                            <w:div w:id="935483342">
                              <w:marLeft w:val="0"/>
                              <w:marRight w:val="0"/>
                              <w:marTop w:val="0"/>
                              <w:marBottom w:val="0"/>
                              <w:divBdr>
                                <w:top w:val="none" w:sz="0" w:space="0" w:color="auto"/>
                                <w:left w:val="none" w:sz="0" w:space="0" w:color="auto"/>
                                <w:bottom w:val="none" w:sz="0" w:space="0" w:color="auto"/>
                                <w:right w:val="none" w:sz="0" w:space="0" w:color="auto"/>
                              </w:divBdr>
                            </w:div>
                            <w:div w:id="270824889">
                              <w:marLeft w:val="0"/>
                              <w:marRight w:val="0"/>
                              <w:marTop w:val="0"/>
                              <w:marBottom w:val="0"/>
                              <w:divBdr>
                                <w:top w:val="none" w:sz="0" w:space="0" w:color="auto"/>
                                <w:left w:val="none" w:sz="0" w:space="0" w:color="auto"/>
                                <w:bottom w:val="none" w:sz="0" w:space="0" w:color="auto"/>
                                <w:right w:val="none" w:sz="0" w:space="0" w:color="auto"/>
                              </w:divBdr>
                            </w:div>
                            <w:div w:id="1434088520">
                              <w:marLeft w:val="0"/>
                              <w:marRight w:val="0"/>
                              <w:marTop w:val="0"/>
                              <w:marBottom w:val="0"/>
                              <w:divBdr>
                                <w:top w:val="none" w:sz="0" w:space="0" w:color="auto"/>
                                <w:left w:val="none" w:sz="0" w:space="0" w:color="auto"/>
                                <w:bottom w:val="none" w:sz="0" w:space="0" w:color="auto"/>
                                <w:right w:val="none" w:sz="0" w:space="0" w:color="auto"/>
                              </w:divBdr>
                            </w:div>
                            <w:div w:id="509639192">
                              <w:marLeft w:val="0"/>
                              <w:marRight w:val="0"/>
                              <w:marTop w:val="0"/>
                              <w:marBottom w:val="0"/>
                              <w:divBdr>
                                <w:top w:val="none" w:sz="0" w:space="0" w:color="auto"/>
                                <w:left w:val="none" w:sz="0" w:space="0" w:color="auto"/>
                                <w:bottom w:val="none" w:sz="0" w:space="0" w:color="auto"/>
                                <w:right w:val="none" w:sz="0" w:space="0" w:color="auto"/>
                              </w:divBdr>
                            </w:div>
                            <w:div w:id="303899969">
                              <w:marLeft w:val="0"/>
                              <w:marRight w:val="0"/>
                              <w:marTop w:val="0"/>
                              <w:marBottom w:val="0"/>
                              <w:divBdr>
                                <w:top w:val="none" w:sz="0" w:space="0" w:color="auto"/>
                                <w:left w:val="none" w:sz="0" w:space="0" w:color="auto"/>
                                <w:bottom w:val="none" w:sz="0" w:space="0" w:color="auto"/>
                                <w:right w:val="none" w:sz="0" w:space="0" w:color="auto"/>
                              </w:divBdr>
                            </w:div>
                            <w:div w:id="790901434">
                              <w:marLeft w:val="0"/>
                              <w:marRight w:val="0"/>
                              <w:marTop w:val="0"/>
                              <w:marBottom w:val="0"/>
                              <w:divBdr>
                                <w:top w:val="none" w:sz="0" w:space="0" w:color="auto"/>
                                <w:left w:val="none" w:sz="0" w:space="0" w:color="auto"/>
                                <w:bottom w:val="none" w:sz="0" w:space="0" w:color="auto"/>
                                <w:right w:val="none" w:sz="0" w:space="0" w:color="auto"/>
                              </w:divBdr>
                            </w:div>
                            <w:div w:id="501432099">
                              <w:marLeft w:val="0"/>
                              <w:marRight w:val="0"/>
                              <w:marTop w:val="0"/>
                              <w:marBottom w:val="0"/>
                              <w:divBdr>
                                <w:top w:val="none" w:sz="0" w:space="0" w:color="auto"/>
                                <w:left w:val="none" w:sz="0" w:space="0" w:color="auto"/>
                                <w:bottom w:val="none" w:sz="0" w:space="0" w:color="auto"/>
                                <w:right w:val="none" w:sz="0" w:space="0" w:color="auto"/>
                              </w:divBdr>
                            </w:div>
                            <w:div w:id="1074819040">
                              <w:marLeft w:val="0"/>
                              <w:marRight w:val="0"/>
                              <w:marTop w:val="0"/>
                              <w:marBottom w:val="0"/>
                              <w:divBdr>
                                <w:top w:val="none" w:sz="0" w:space="0" w:color="auto"/>
                                <w:left w:val="none" w:sz="0" w:space="0" w:color="auto"/>
                                <w:bottom w:val="none" w:sz="0" w:space="0" w:color="auto"/>
                                <w:right w:val="none" w:sz="0" w:space="0" w:color="auto"/>
                              </w:divBdr>
                            </w:div>
                            <w:div w:id="236669501">
                              <w:marLeft w:val="0"/>
                              <w:marRight w:val="0"/>
                              <w:marTop w:val="0"/>
                              <w:marBottom w:val="0"/>
                              <w:divBdr>
                                <w:top w:val="none" w:sz="0" w:space="0" w:color="auto"/>
                                <w:left w:val="none" w:sz="0" w:space="0" w:color="auto"/>
                                <w:bottom w:val="none" w:sz="0" w:space="0" w:color="auto"/>
                                <w:right w:val="none" w:sz="0" w:space="0" w:color="auto"/>
                              </w:divBdr>
                            </w:div>
                            <w:div w:id="618680399">
                              <w:marLeft w:val="0"/>
                              <w:marRight w:val="0"/>
                              <w:marTop w:val="0"/>
                              <w:marBottom w:val="0"/>
                              <w:divBdr>
                                <w:top w:val="none" w:sz="0" w:space="0" w:color="auto"/>
                                <w:left w:val="none" w:sz="0" w:space="0" w:color="auto"/>
                                <w:bottom w:val="none" w:sz="0" w:space="0" w:color="auto"/>
                                <w:right w:val="none" w:sz="0" w:space="0" w:color="auto"/>
                              </w:divBdr>
                            </w:div>
                            <w:div w:id="54864780">
                              <w:marLeft w:val="0"/>
                              <w:marRight w:val="0"/>
                              <w:marTop w:val="0"/>
                              <w:marBottom w:val="0"/>
                              <w:divBdr>
                                <w:top w:val="none" w:sz="0" w:space="0" w:color="auto"/>
                                <w:left w:val="none" w:sz="0" w:space="0" w:color="auto"/>
                                <w:bottom w:val="none" w:sz="0" w:space="0" w:color="auto"/>
                                <w:right w:val="none" w:sz="0" w:space="0" w:color="auto"/>
                              </w:divBdr>
                            </w:div>
                            <w:div w:id="583103644">
                              <w:marLeft w:val="0"/>
                              <w:marRight w:val="0"/>
                              <w:marTop w:val="0"/>
                              <w:marBottom w:val="0"/>
                              <w:divBdr>
                                <w:top w:val="none" w:sz="0" w:space="0" w:color="auto"/>
                                <w:left w:val="none" w:sz="0" w:space="0" w:color="auto"/>
                                <w:bottom w:val="none" w:sz="0" w:space="0" w:color="auto"/>
                                <w:right w:val="none" w:sz="0" w:space="0" w:color="auto"/>
                              </w:divBdr>
                            </w:div>
                            <w:div w:id="1097873660">
                              <w:marLeft w:val="0"/>
                              <w:marRight w:val="0"/>
                              <w:marTop w:val="0"/>
                              <w:marBottom w:val="0"/>
                              <w:divBdr>
                                <w:top w:val="none" w:sz="0" w:space="0" w:color="auto"/>
                                <w:left w:val="none" w:sz="0" w:space="0" w:color="auto"/>
                                <w:bottom w:val="none" w:sz="0" w:space="0" w:color="auto"/>
                                <w:right w:val="none" w:sz="0" w:space="0" w:color="auto"/>
                              </w:divBdr>
                            </w:div>
                            <w:div w:id="605159887">
                              <w:marLeft w:val="0"/>
                              <w:marRight w:val="0"/>
                              <w:marTop w:val="0"/>
                              <w:marBottom w:val="0"/>
                              <w:divBdr>
                                <w:top w:val="none" w:sz="0" w:space="0" w:color="auto"/>
                                <w:left w:val="none" w:sz="0" w:space="0" w:color="auto"/>
                                <w:bottom w:val="none" w:sz="0" w:space="0" w:color="auto"/>
                                <w:right w:val="none" w:sz="0" w:space="0" w:color="auto"/>
                              </w:divBdr>
                            </w:div>
                            <w:div w:id="1576276456">
                              <w:marLeft w:val="0"/>
                              <w:marRight w:val="0"/>
                              <w:marTop w:val="0"/>
                              <w:marBottom w:val="0"/>
                              <w:divBdr>
                                <w:top w:val="none" w:sz="0" w:space="0" w:color="auto"/>
                                <w:left w:val="none" w:sz="0" w:space="0" w:color="auto"/>
                                <w:bottom w:val="none" w:sz="0" w:space="0" w:color="auto"/>
                                <w:right w:val="none" w:sz="0" w:space="0" w:color="auto"/>
                              </w:divBdr>
                            </w:div>
                            <w:div w:id="1934705460">
                              <w:marLeft w:val="0"/>
                              <w:marRight w:val="0"/>
                              <w:marTop w:val="0"/>
                              <w:marBottom w:val="0"/>
                              <w:divBdr>
                                <w:top w:val="none" w:sz="0" w:space="0" w:color="auto"/>
                                <w:left w:val="none" w:sz="0" w:space="0" w:color="auto"/>
                                <w:bottom w:val="none" w:sz="0" w:space="0" w:color="auto"/>
                                <w:right w:val="none" w:sz="0" w:space="0" w:color="auto"/>
                              </w:divBdr>
                            </w:div>
                            <w:div w:id="932129883">
                              <w:marLeft w:val="0"/>
                              <w:marRight w:val="0"/>
                              <w:marTop w:val="0"/>
                              <w:marBottom w:val="0"/>
                              <w:divBdr>
                                <w:top w:val="none" w:sz="0" w:space="0" w:color="auto"/>
                                <w:left w:val="none" w:sz="0" w:space="0" w:color="auto"/>
                                <w:bottom w:val="none" w:sz="0" w:space="0" w:color="auto"/>
                                <w:right w:val="none" w:sz="0" w:space="0" w:color="auto"/>
                              </w:divBdr>
                            </w:div>
                            <w:div w:id="793910498">
                              <w:marLeft w:val="0"/>
                              <w:marRight w:val="0"/>
                              <w:marTop w:val="0"/>
                              <w:marBottom w:val="0"/>
                              <w:divBdr>
                                <w:top w:val="none" w:sz="0" w:space="0" w:color="auto"/>
                                <w:left w:val="none" w:sz="0" w:space="0" w:color="auto"/>
                                <w:bottom w:val="none" w:sz="0" w:space="0" w:color="auto"/>
                                <w:right w:val="none" w:sz="0" w:space="0" w:color="auto"/>
                              </w:divBdr>
                            </w:div>
                            <w:div w:id="234171971">
                              <w:marLeft w:val="0"/>
                              <w:marRight w:val="0"/>
                              <w:marTop w:val="0"/>
                              <w:marBottom w:val="0"/>
                              <w:divBdr>
                                <w:top w:val="none" w:sz="0" w:space="0" w:color="auto"/>
                                <w:left w:val="none" w:sz="0" w:space="0" w:color="auto"/>
                                <w:bottom w:val="none" w:sz="0" w:space="0" w:color="auto"/>
                                <w:right w:val="none" w:sz="0" w:space="0" w:color="auto"/>
                              </w:divBdr>
                            </w:div>
                            <w:div w:id="1526208557">
                              <w:marLeft w:val="0"/>
                              <w:marRight w:val="0"/>
                              <w:marTop w:val="0"/>
                              <w:marBottom w:val="0"/>
                              <w:divBdr>
                                <w:top w:val="none" w:sz="0" w:space="0" w:color="auto"/>
                                <w:left w:val="none" w:sz="0" w:space="0" w:color="auto"/>
                                <w:bottom w:val="none" w:sz="0" w:space="0" w:color="auto"/>
                                <w:right w:val="none" w:sz="0" w:space="0" w:color="auto"/>
                              </w:divBdr>
                            </w:div>
                            <w:div w:id="1978755044">
                              <w:marLeft w:val="0"/>
                              <w:marRight w:val="0"/>
                              <w:marTop w:val="0"/>
                              <w:marBottom w:val="0"/>
                              <w:divBdr>
                                <w:top w:val="none" w:sz="0" w:space="0" w:color="auto"/>
                                <w:left w:val="none" w:sz="0" w:space="0" w:color="auto"/>
                                <w:bottom w:val="none" w:sz="0" w:space="0" w:color="auto"/>
                                <w:right w:val="none" w:sz="0" w:space="0" w:color="auto"/>
                              </w:divBdr>
                            </w:div>
                            <w:div w:id="853106970">
                              <w:marLeft w:val="0"/>
                              <w:marRight w:val="0"/>
                              <w:marTop w:val="0"/>
                              <w:marBottom w:val="0"/>
                              <w:divBdr>
                                <w:top w:val="none" w:sz="0" w:space="0" w:color="auto"/>
                                <w:left w:val="none" w:sz="0" w:space="0" w:color="auto"/>
                                <w:bottom w:val="none" w:sz="0" w:space="0" w:color="auto"/>
                                <w:right w:val="none" w:sz="0" w:space="0" w:color="auto"/>
                              </w:divBdr>
                            </w:div>
                            <w:div w:id="1460681076">
                              <w:marLeft w:val="0"/>
                              <w:marRight w:val="0"/>
                              <w:marTop w:val="0"/>
                              <w:marBottom w:val="0"/>
                              <w:divBdr>
                                <w:top w:val="none" w:sz="0" w:space="0" w:color="auto"/>
                                <w:left w:val="none" w:sz="0" w:space="0" w:color="auto"/>
                                <w:bottom w:val="none" w:sz="0" w:space="0" w:color="auto"/>
                                <w:right w:val="none" w:sz="0" w:space="0" w:color="auto"/>
                              </w:divBdr>
                            </w:div>
                            <w:div w:id="1094473789">
                              <w:marLeft w:val="0"/>
                              <w:marRight w:val="0"/>
                              <w:marTop w:val="0"/>
                              <w:marBottom w:val="0"/>
                              <w:divBdr>
                                <w:top w:val="none" w:sz="0" w:space="0" w:color="auto"/>
                                <w:left w:val="none" w:sz="0" w:space="0" w:color="auto"/>
                                <w:bottom w:val="none" w:sz="0" w:space="0" w:color="auto"/>
                                <w:right w:val="none" w:sz="0" w:space="0" w:color="auto"/>
                              </w:divBdr>
                            </w:div>
                            <w:div w:id="770316284">
                              <w:marLeft w:val="0"/>
                              <w:marRight w:val="0"/>
                              <w:marTop w:val="0"/>
                              <w:marBottom w:val="0"/>
                              <w:divBdr>
                                <w:top w:val="none" w:sz="0" w:space="0" w:color="auto"/>
                                <w:left w:val="none" w:sz="0" w:space="0" w:color="auto"/>
                                <w:bottom w:val="none" w:sz="0" w:space="0" w:color="auto"/>
                                <w:right w:val="none" w:sz="0" w:space="0" w:color="auto"/>
                              </w:divBdr>
                            </w:div>
                            <w:div w:id="889195494">
                              <w:marLeft w:val="0"/>
                              <w:marRight w:val="0"/>
                              <w:marTop w:val="0"/>
                              <w:marBottom w:val="0"/>
                              <w:divBdr>
                                <w:top w:val="none" w:sz="0" w:space="0" w:color="auto"/>
                                <w:left w:val="none" w:sz="0" w:space="0" w:color="auto"/>
                                <w:bottom w:val="none" w:sz="0" w:space="0" w:color="auto"/>
                                <w:right w:val="none" w:sz="0" w:space="0" w:color="auto"/>
                              </w:divBdr>
                            </w:div>
                            <w:div w:id="267469432">
                              <w:marLeft w:val="0"/>
                              <w:marRight w:val="0"/>
                              <w:marTop w:val="0"/>
                              <w:marBottom w:val="0"/>
                              <w:divBdr>
                                <w:top w:val="none" w:sz="0" w:space="0" w:color="auto"/>
                                <w:left w:val="none" w:sz="0" w:space="0" w:color="auto"/>
                                <w:bottom w:val="none" w:sz="0" w:space="0" w:color="auto"/>
                                <w:right w:val="none" w:sz="0" w:space="0" w:color="auto"/>
                              </w:divBdr>
                            </w:div>
                            <w:div w:id="27030298">
                              <w:marLeft w:val="0"/>
                              <w:marRight w:val="0"/>
                              <w:marTop w:val="0"/>
                              <w:marBottom w:val="0"/>
                              <w:divBdr>
                                <w:top w:val="none" w:sz="0" w:space="0" w:color="auto"/>
                                <w:left w:val="none" w:sz="0" w:space="0" w:color="auto"/>
                                <w:bottom w:val="none" w:sz="0" w:space="0" w:color="auto"/>
                                <w:right w:val="none" w:sz="0" w:space="0" w:color="auto"/>
                              </w:divBdr>
                            </w:div>
                            <w:div w:id="1380940112">
                              <w:marLeft w:val="0"/>
                              <w:marRight w:val="0"/>
                              <w:marTop w:val="0"/>
                              <w:marBottom w:val="0"/>
                              <w:divBdr>
                                <w:top w:val="none" w:sz="0" w:space="0" w:color="auto"/>
                                <w:left w:val="none" w:sz="0" w:space="0" w:color="auto"/>
                                <w:bottom w:val="none" w:sz="0" w:space="0" w:color="auto"/>
                                <w:right w:val="none" w:sz="0" w:space="0" w:color="auto"/>
                              </w:divBdr>
                            </w:div>
                            <w:div w:id="595477486">
                              <w:marLeft w:val="0"/>
                              <w:marRight w:val="0"/>
                              <w:marTop w:val="0"/>
                              <w:marBottom w:val="0"/>
                              <w:divBdr>
                                <w:top w:val="none" w:sz="0" w:space="0" w:color="auto"/>
                                <w:left w:val="none" w:sz="0" w:space="0" w:color="auto"/>
                                <w:bottom w:val="none" w:sz="0" w:space="0" w:color="auto"/>
                                <w:right w:val="none" w:sz="0" w:space="0" w:color="auto"/>
                              </w:divBdr>
                            </w:div>
                            <w:div w:id="341053570">
                              <w:marLeft w:val="0"/>
                              <w:marRight w:val="0"/>
                              <w:marTop w:val="0"/>
                              <w:marBottom w:val="0"/>
                              <w:divBdr>
                                <w:top w:val="none" w:sz="0" w:space="0" w:color="auto"/>
                                <w:left w:val="none" w:sz="0" w:space="0" w:color="auto"/>
                                <w:bottom w:val="none" w:sz="0" w:space="0" w:color="auto"/>
                                <w:right w:val="none" w:sz="0" w:space="0" w:color="auto"/>
                              </w:divBdr>
                            </w:div>
                            <w:div w:id="1706829385">
                              <w:marLeft w:val="0"/>
                              <w:marRight w:val="0"/>
                              <w:marTop w:val="0"/>
                              <w:marBottom w:val="0"/>
                              <w:divBdr>
                                <w:top w:val="none" w:sz="0" w:space="0" w:color="auto"/>
                                <w:left w:val="none" w:sz="0" w:space="0" w:color="auto"/>
                                <w:bottom w:val="none" w:sz="0" w:space="0" w:color="auto"/>
                                <w:right w:val="none" w:sz="0" w:space="0" w:color="auto"/>
                              </w:divBdr>
                            </w:div>
                            <w:div w:id="1396195585">
                              <w:marLeft w:val="0"/>
                              <w:marRight w:val="0"/>
                              <w:marTop w:val="0"/>
                              <w:marBottom w:val="0"/>
                              <w:divBdr>
                                <w:top w:val="none" w:sz="0" w:space="0" w:color="auto"/>
                                <w:left w:val="none" w:sz="0" w:space="0" w:color="auto"/>
                                <w:bottom w:val="none" w:sz="0" w:space="0" w:color="auto"/>
                                <w:right w:val="none" w:sz="0" w:space="0" w:color="auto"/>
                              </w:divBdr>
                            </w:div>
                            <w:div w:id="1589774330">
                              <w:marLeft w:val="0"/>
                              <w:marRight w:val="0"/>
                              <w:marTop w:val="0"/>
                              <w:marBottom w:val="0"/>
                              <w:divBdr>
                                <w:top w:val="none" w:sz="0" w:space="0" w:color="auto"/>
                                <w:left w:val="none" w:sz="0" w:space="0" w:color="auto"/>
                                <w:bottom w:val="none" w:sz="0" w:space="0" w:color="auto"/>
                                <w:right w:val="none" w:sz="0" w:space="0" w:color="auto"/>
                              </w:divBdr>
                            </w:div>
                            <w:div w:id="2143041145">
                              <w:marLeft w:val="0"/>
                              <w:marRight w:val="0"/>
                              <w:marTop w:val="0"/>
                              <w:marBottom w:val="0"/>
                              <w:divBdr>
                                <w:top w:val="none" w:sz="0" w:space="0" w:color="auto"/>
                                <w:left w:val="none" w:sz="0" w:space="0" w:color="auto"/>
                                <w:bottom w:val="none" w:sz="0" w:space="0" w:color="auto"/>
                                <w:right w:val="none" w:sz="0" w:space="0" w:color="auto"/>
                              </w:divBdr>
                            </w:div>
                            <w:div w:id="1534536508">
                              <w:marLeft w:val="0"/>
                              <w:marRight w:val="0"/>
                              <w:marTop w:val="0"/>
                              <w:marBottom w:val="0"/>
                              <w:divBdr>
                                <w:top w:val="none" w:sz="0" w:space="0" w:color="auto"/>
                                <w:left w:val="none" w:sz="0" w:space="0" w:color="auto"/>
                                <w:bottom w:val="none" w:sz="0" w:space="0" w:color="auto"/>
                                <w:right w:val="none" w:sz="0" w:space="0" w:color="auto"/>
                              </w:divBdr>
                            </w:div>
                            <w:div w:id="900866818">
                              <w:marLeft w:val="0"/>
                              <w:marRight w:val="0"/>
                              <w:marTop w:val="0"/>
                              <w:marBottom w:val="0"/>
                              <w:divBdr>
                                <w:top w:val="none" w:sz="0" w:space="0" w:color="auto"/>
                                <w:left w:val="none" w:sz="0" w:space="0" w:color="auto"/>
                                <w:bottom w:val="none" w:sz="0" w:space="0" w:color="auto"/>
                                <w:right w:val="none" w:sz="0" w:space="0" w:color="auto"/>
                              </w:divBdr>
                            </w:div>
                            <w:div w:id="164591792">
                              <w:marLeft w:val="0"/>
                              <w:marRight w:val="0"/>
                              <w:marTop w:val="0"/>
                              <w:marBottom w:val="0"/>
                              <w:divBdr>
                                <w:top w:val="none" w:sz="0" w:space="0" w:color="auto"/>
                                <w:left w:val="none" w:sz="0" w:space="0" w:color="auto"/>
                                <w:bottom w:val="none" w:sz="0" w:space="0" w:color="auto"/>
                                <w:right w:val="none" w:sz="0" w:space="0" w:color="auto"/>
                              </w:divBdr>
                            </w:div>
                            <w:div w:id="724790232">
                              <w:marLeft w:val="0"/>
                              <w:marRight w:val="0"/>
                              <w:marTop w:val="0"/>
                              <w:marBottom w:val="0"/>
                              <w:divBdr>
                                <w:top w:val="none" w:sz="0" w:space="0" w:color="auto"/>
                                <w:left w:val="none" w:sz="0" w:space="0" w:color="auto"/>
                                <w:bottom w:val="none" w:sz="0" w:space="0" w:color="auto"/>
                                <w:right w:val="none" w:sz="0" w:space="0" w:color="auto"/>
                              </w:divBdr>
                            </w:div>
                            <w:div w:id="1998149767">
                              <w:marLeft w:val="0"/>
                              <w:marRight w:val="0"/>
                              <w:marTop w:val="0"/>
                              <w:marBottom w:val="0"/>
                              <w:divBdr>
                                <w:top w:val="none" w:sz="0" w:space="0" w:color="auto"/>
                                <w:left w:val="none" w:sz="0" w:space="0" w:color="auto"/>
                                <w:bottom w:val="none" w:sz="0" w:space="0" w:color="auto"/>
                                <w:right w:val="none" w:sz="0" w:space="0" w:color="auto"/>
                              </w:divBdr>
                            </w:div>
                            <w:div w:id="1384138264">
                              <w:marLeft w:val="0"/>
                              <w:marRight w:val="0"/>
                              <w:marTop w:val="0"/>
                              <w:marBottom w:val="0"/>
                              <w:divBdr>
                                <w:top w:val="none" w:sz="0" w:space="0" w:color="auto"/>
                                <w:left w:val="none" w:sz="0" w:space="0" w:color="auto"/>
                                <w:bottom w:val="none" w:sz="0" w:space="0" w:color="auto"/>
                                <w:right w:val="none" w:sz="0" w:space="0" w:color="auto"/>
                              </w:divBdr>
                            </w:div>
                            <w:div w:id="834342712">
                              <w:marLeft w:val="0"/>
                              <w:marRight w:val="0"/>
                              <w:marTop w:val="0"/>
                              <w:marBottom w:val="0"/>
                              <w:divBdr>
                                <w:top w:val="none" w:sz="0" w:space="0" w:color="auto"/>
                                <w:left w:val="none" w:sz="0" w:space="0" w:color="auto"/>
                                <w:bottom w:val="none" w:sz="0" w:space="0" w:color="auto"/>
                                <w:right w:val="none" w:sz="0" w:space="0" w:color="auto"/>
                              </w:divBdr>
                            </w:div>
                            <w:div w:id="1565720831">
                              <w:marLeft w:val="0"/>
                              <w:marRight w:val="0"/>
                              <w:marTop w:val="0"/>
                              <w:marBottom w:val="0"/>
                              <w:divBdr>
                                <w:top w:val="none" w:sz="0" w:space="0" w:color="auto"/>
                                <w:left w:val="none" w:sz="0" w:space="0" w:color="auto"/>
                                <w:bottom w:val="none" w:sz="0" w:space="0" w:color="auto"/>
                                <w:right w:val="none" w:sz="0" w:space="0" w:color="auto"/>
                              </w:divBdr>
                            </w:div>
                            <w:div w:id="801776724">
                              <w:marLeft w:val="0"/>
                              <w:marRight w:val="0"/>
                              <w:marTop w:val="0"/>
                              <w:marBottom w:val="0"/>
                              <w:divBdr>
                                <w:top w:val="none" w:sz="0" w:space="0" w:color="auto"/>
                                <w:left w:val="none" w:sz="0" w:space="0" w:color="auto"/>
                                <w:bottom w:val="none" w:sz="0" w:space="0" w:color="auto"/>
                                <w:right w:val="none" w:sz="0" w:space="0" w:color="auto"/>
                              </w:divBdr>
                            </w:div>
                            <w:div w:id="1070880393">
                              <w:marLeft w:val="0"/>
                              <w:marRight w:val="0"/>
                              <w:marTop w:val="0"/>
                              <w:marBottom w:val="0"/>
                              <w:divBdr>
                                <w:top w:val="none" w:sz="0" w:space="0" w:color="auto"/>
                                <w:left w:val="none" w:sz="0" w:space="0" w:color="auto"/>
                                <w:bottom w:val="none" w:sz="0" w:space="0" w:color="auto"/>
                                <w:right w:val="none" w:sz="0" w:space="0" w:color="auto"/>
                              </w:divBdr>
                            </w:div>
                            <w:div w:id="1969622014">
                              <w:marLeft w:val="0"/>
                              <w:marRight w:val="0"/>
                              <w:marTop w:val="0"/>
                              <w:marBottom w:val="0"/>
                              <w:divBdr>
                                <w:top w:val="none" w:sz="0" w:space="0" w:color="auto"/>
                                <w:left w:val="none" w:sz="0" w:space="0" w:color="auto"/>
                                <w:bottom w:val="none" w:sz="0" w:space="0" w:color="auto"/>
                                <w:right w:val="none" w:sz="0" w:space="0" w:color="auto"/>
                              </w:divBdr>
                            </w:div>
                            <w:div w:id="352922097">
                              <w:marLeft w:val="0"/>
                              <w:marRight w:val="0"/>
                              <w:marTop w:val="0"/>
                              <w:marBottom w:val="0"/>
                              <w:divBdr>
                                <w:top w:val="none" w:sz="0" w:space="0" w:color="auto"/>
                                <w:left w:val="none" w:sz="0" w:space="0" w:color="auto"/>
                                <w:bottom w:val="none" w:sz="0" w:space="0" w:color="auto"/>
                                <w:right w:val="none" w:sz="0" w:space="0" w:color="auto"/>
                              </w:divBdr>
                            </w:div>
                            <w:div w:id="567148858">
                              <w:marLeft w:val="0"/>
                              <w:marRight w:val="0"/>
                              <w:marTop w:val="0"/>
                              <w:marBottom w:val="0"/>
                              <w:divBdr>
                                <w:top w:val="none" w:sz="0" w:space="0" w:color="auto"/>
                                <w:left w:val="none" w:sz="0" w:space="0" w:color="auto"/>
                                <w:bottom w:val="none" w:sz="0" w:space="0" w:color="auto"/>
                                <w:right w:val="none" w:sz="0" w:space="0" w:color="auto"/>
                              </w:divBdr>
                            </w:div>
                            <w:div w:id="353119267">
                              <w:marLeft w:val="0"/>
                              <w:marRight w:val="0"/>
                              <w:marTop w:val="0"/>
                              <w:marBottom w:val="0"/>
                              <w:divBdr>
                                <w:top w:val="none" w:sz="0" w:space="0" w:color="auto"/>
                                <w:left w:val="none" w:sz="0" w:space="0" w:color="auto"/>
                                <w:bottom w:val="none" w:sz="0" w:space="0" w:color="auto"/>
                                <w:right w:val="none" w:sz="0" w:space="0" w:color="auto"/>
                              </w:divBdr>
                            </w:div>
                            <w:div w:id="1532454560">
                              <w:marLeft w:val="0"/>
                              <w:marRight w:val="0"/>
                              <w:marTop w:val="0"/>
                              <w:marBottom w:val="0"/>
                              <w:divBdr>
                                <w:top w:val="none" w:sz="0" w:space="0" w:color="auto"/>
                                <w:left w:val="none" w:sz="0" w:space="0" w:color="auto"/>
                                <w:bottom w:val="none" w:sz="0" w:space="0" w:color="auto"/>
                                <w:right w:val="none" w:sz="0" w:space="0" w:color="auto"/>
                              </w:divBdr>
                            </w:div>
                            <w:div w:id="999969855">
                              <w:marLeft w:val="0"/>
                              <w:marRight w:val="0"/>
                              <w:marTop w:val="0"/>
                              <w:marBottom w:val="0"/>
                              <w:divBdr>
                                <w:top w:val="none" w:sz="0" w:space="0" w:color="auto"/>
                                <w:left w:val="none" w:sz="0" w:space="0" w:color="auto"/>
                                <w:bottom w:val="none" w:sz="0" w:space="0" w:color="auto"/>
                                <w:right w:val="none" w:sz="0" w:space="0" w:color="auto"/>
                              </w:divBdr>
                            </w:div>
                            <w:div w:id="684600548">
                              <w:marLeft w:val="0"/>
                              <w:marRight w:val="0"/>
                              <w:marTop w:val="0"/>
                              <w:marBottom w:val="0"/>
                              <w:divBdr>
                                <w:top w:val="none" w:sz="0" w:space="0" w:color="auto"/>
                                <w:left w:val="none" w:sz="0" w:space="0" w:color="auto"/>
                                <w:bottom w:val="none" w:sz="0" w:space="0" w:color="auto"/>
                                <w:right w:val="none" w:sz="0" w:space="0" w:color="auto"/>
                              </w:divBdr>
                            </w:div>
                            <w:div w:id="1019551948">
                              <w:marLeft w:val="0"/>
                              <w:marRight w:val="0"/>
                              <w:marTop w:val="0"/>
                              <w:marBottom w:val="0"/>
                              <w:divBdr>
                                <w:top w:val="none" w:sz="0" w:space="0" w:color="auto"/>
                                <w:left w:val="none" w:sz="0" w:space="0" w:color="auto"/>
                                <w:bottom w:val="none" w:sz="0" w:space="0" w:color="auto"/>
                                <w:right w:val="none" w:sz="0" w:space="0" w:color="auto"/>
                              </w:divBdr>
                            </w:div>
                            <w:div w:id="967668318">
                              <w:marLeft w:val="0"/>
                              <w:marRight w:val="0"/>
                              <w:marTop w:val="0"/>
                              <w:marBottom w:val="0"/>
                              <w:divBdr>
                                <w:top w:val="none" w:sz="0" w:space="0" w:color="auto"/>
                                <w:left w:val="none" w:sz="0" w:space="0" w:color="auto"/>
                                <w:bottom w:val="none" w:sz="0" w:space="0" w:color="auto"/>
                                <w:right w:val="none" w:sz="0" w:space="0" w:color="auto"/>
                              </w:divBdr>
                            </w:div>
                            <w:div w:id="1001278554">
                              <w:marLeft w:val="0"/>
                              <w:marRight w:val="0"/>
                              <w:marTop w:val="0"/>
                              <w:marBottom w:val="0"/>
                              <w:divBdr>
                                <w:top w:val="none" w:sz="0" w:space="0" w:color="auto"/>
                                <w:left w:val="none" w:sz="0" w:space="0" w:color="auto"/>
                                <w:bottom w:val="none" w:sz="0" w:space="0" w:color="auto"/>
                                <w:right w:val="none" w:sz="0" w:space="0" w:color="auto"/>
                              </w:divBdr>
                            </w:div>
                            <w:div w:id="848059991">
                              <w:marLeft w:val="0"/>
                              <w:marRight w:val="0"/>
                              <w:marTop w:val="0"/>
                              <w:marBottom w:val="0"/>
                              <w:divBdr>
                                <w:top w:val="none" w:sz="0" w:space="0" w:color="auto"/>
                                <w:left w:val="none" w:sz="0" w:space="0" w:color="auto"/>
                                <w:bottom w:val="none" w:sz="0" w:space="0" w:color="auto"/>
                                <w:right w:val="none" w:sz="0" w:space="0" w:color="auto"/>
                              </w:divBdr>
                            </w:div>
                            <w:div w:id="1091201342">
                              <w:marLeft w:val="0"/>
                              <w:marRight w:val="0"/>
                              <w:marTop w:val="0"/>
                              <w:marBottom w:val="0"/>
                              <w:divBdr>
                                <w:top w:val="none" w:sz="0" w:space="0" w:color="auto"/>
                                <w:left w:val="none" w:sz="0" w:space="0" w:color="auto"/>
                                <w:bottom w:val="none" w:sz="0" w:space="0" w:color="auto"/>
                                <w:right w:val="none" w:sz="0" w:space="0" w:color="auto"/>
                              </w:divBdr>
                            </w:div>
                            <w:div w:id="279528366">
                              <w:marLeft w:val="0"/>
                              <w:marRight w:val="0"/>
                              <w:marTop w:val="0"/>
                              <w:marBottom w:val="0"/>
                              <w:divBdr>
                                <w:top w:val="none" w:sz="0" w:space="0" w:color="auto"/>
                                <w:left w:val="none" w:sz="0" w:space="0" w:color="auto"/>
                                <w:bottom w:val="none" w:sz="0" w:space="0" w:color="auto"/>
                                <w:right w:val="none" w:sz="0" w:space="0" w:color="auto"/>
                              </w:divBdr>
                            </w:div>
                            <w:div w:id="346754064">
                              <w:marLeft w:val="0"/>
                              <w:marRight w:val="0"/>
                              <w:marTop w:val="0"/>
                              <w:marBottom w:val="0"/>
                              <w:divBdr>
                                <w:top w:val="none" w:sz="0" w:space="0" w:color="auto"/>
                                <w:left w:val="none" w:sz="0" w:space="0" w:color="auto"/>
                                <w:bottom w:val="none" w:sz="0" w:space="0" w:color="auto"/>
                                <w:right w:val="none" w:sz="0" w:space="0" w:color="auto"/>
                              </w:divBdr>
                            </w:div>
                            <w:div w:id="1289169557">
                              <w:marLeft w:val="0"/>
                              <w:marRight w:val="0"/>
                              <w:marTop w:val="0"/>
                              <w:marBottom w:val="0"/>
                              <w:divBdr>
                                <w:top w:val="none" w:sz="0" w:space="0" w:color="auto"/>
                                <w:left w:val="none" w:sz="0" w:space="0" w:color="auto"/>
                                <w:bottom w:val="none" w:sz="0" w:space="0" w:color="auto"/>
                                <w:right w:val="none" w:sz="0" w:space="0" w:color="auto"/>
                              </w:divBdr>
                            </w:div>
                            <w:div w:id="565797917">
                              <w:marLeft w:val="0"/>
                              <w:marRight w:val="0"/>
                              <w:marTop w:val="0"/>
                              <w:marBottom w:val="0"/>
                              <w:divBdr>
                                <w:top w:val="none" w:sz="0" w:space="0" w:color="auto"/>
                                <w:left w:val="none" w:sz="0" w:space="0" w:color="auto"/>
                                <w:bottom w:val="none" w:sz="0" w:space="0" w:color="auto"/>
                                <w:right w:val="none" w:sz="0" w:space="0" w:color="auto"/>
                              </w:divBdr>
                            </w:div>
                            <w:div w:id="1138569957">
                              <w:marLeft w:val="0"/>
                              <w:marRight w:val="0"/>
                              <w:marTop w:val="0"/>
                              <w:marBottom w:val="0"/>
                              <w:divBdr>
                                <w:top w:val="none" w:sz="0" w:space="0" w:color="auto"/>
                                <w:left w:val="none" w:sz="0" w:space="0" w:color="auto"/>
                                <w:bottom w:val="none" w:sz="0" w:space="0" w:color="auto"/>
                                <w:right w:val="none" w:sz="0" w:space="0" w:color="auto"/>
                              </w:divBdr>
                            </w:div>
                            <w:div w:id="409547042">
                              <w:marLeft w:val="0"/>
                              <w:marRight w:val="0"/>
                              <w:marTop w:val="0"/>
                              <w:marBottom w:val="0"/>
                              <w:divBdr>
                                <w:top w:val="none" w:sz="0" w:space="0" w:color="auto"/>
                                <w:left w:val="none" w:sz="0" w:space="0" w:color="auto"/>
                                <w:bottom w:val="none" w:sz="0" w:space="0" w:color="auto"/>
                                <w:right w:val="none" w:sz="0" w:space="0" w:color="auto"/>
                              </w:divBdr>
                            </w:div>
                            <w:div w:id="28377723">
                              <w:marLeft w:val="0"/>
                              <w:marRight w:val="0"/>
                              <w:marTop w:val="0"/>
                              <w:marBottom w:val="0"/>
                              <w:divBdr>
                                <w:top w:val="none" w:sz="0" w:space="0" w:color="auto"/>
                                <w:left w:val="none" w:sz="0" w:space="0" w:color="auto"/>
                                <w:bottom w:val="none" w:sz="0" w:space="0" w:color="auto"/>
                                <w:right w:val="none" w:sz="0" w:space="0" w:color="auto"/>
                              </w:divBdr>
                            </w:div>
                            <w:div w:id="797648089">
                              <w:marLeft w:val="0"/>
                              <w:marRight w:val="0"/>
                              <w:marTop w:val="0"/>
                              <w:marBottom w:val="0"/>
                              <w:divBdr>
                                <w:top w:val="none" w:sz="0" w:space="0" w:color="auto"/>
                                <w:left w:val="none" w:sz="0" w:space="0" w:color="auto"/>
                                <w:bottom w:val="none" w:sz="0" w:space="0" w:color="auto"/>
                                <w:right w:val="none" w:sz="0" w:space="0" w:color="auto"/>
                              </w:divBdr>
                            </w:div>
                            <w:div w:id="1001858593">
                              <w:marLeft w:val="0"/>
                              <w:marRight w:val="0"/>
                              <w:marTop w:val="0"/>
                              <w:marBottom w:val="0"/>
                              <w:divBdr>
                                <w:top w:val="none" w:sz="0" w:space="0" w:color="auto"/>
                                <w:left w:val="none" w:sz="0" w:space="0" w:color="auto"/>
                                <w:bottom w:val="none" w:sz="0" w:space="0" w:color="auto"/>
                                <w:right w:val="none" w:sz="0" w:space="0" w:color="auto"/>
                              </w:divBdr>
                            </w:div>
                            <w:div w:id="1431316679">
                              <w:marLeft w:val="0"/>
                              <w:marRight w:val="0"/>
                              <w:marTop w:val="0"/>
                              <w:marBottom w:val="0"/>
                              <w:divBdr>
                                <w:top w:val="none" w:sz="0" w:space="0" w:color="auto"/>
                                <w:left w:val="none" w:sz="0" w:space="0" w:color="auto"/>
                                <w:bottom w:val="none" w:sz="0" w:space="0" w:color="auto"/>
                                <w:right w:val="none" w:sz="0" w:space="0" w:color="auto"/>
                              </w:divBdr>
                            </w:div>
                            <w:div w:id="1664623808">
                              <w:marLeft w:val="0"/>
                              <w:marRight w:val="0"/>
                              <w:marTop w:val="0"/>
                              <w:marBottom w:val="0"/>
                              <w:divBdr>
                                <w:top w:val="none" w:sz="0" w:space="0" w:color="auto"/>
                                <w:left w:val="none" w:sz="0" w:space="0" w:color="auto"/>
                                <w:bottom w:val="none" w:sz="0" w:space="0" w:color="auto"/>
                                <w:right w:val="none" w:sz="0" w:space="0" w:color="auto"/>
                              </w:divBdr>
                            </w:div>
                            <w:div w:id="1731491299">
                              <w:marLeft w:val="0"/>
                              <w:marRight w:val="0"/>
                              <w:marTop w:val="0"/>
                              <w:marBottom w:val="0"/>
                              <w:divBdr>
                                <w:top w:val="none" w:sz="0" w:space="0" w:color="auto"/>
                                <w:left w:val="none" w:sz="0" w:space="0" w:color="auto"/>
                                <w:bottom w:val="none" w:sz="0" w:space="0" w:color="auto"/>
                                <w:right w:val="none" w:sz="0" w:space="0" w:color="auto"/>
                              </w:divBdr>
                            </w:div>
                            <w:div w:id="796686056">
                              <w:marLeft w:val="0"/>
                              <w:marRight w:val="0"/>
                              <w:marTop w:val="0"/>
                              <w:marBottom w:val="0"/>
                              <w:divBdr>
                                <w:top w:val="none" w:sz="0" w:space="0" w:color="auto"/>
                                <w:left w:val="none" w:sz="0" w:space="0" w:color="auto"/>
                                <w:bottom w:val="none" w:sz="0" w:space="0" w:color="auto"/>
                                <w:right w:val="none" w:sz="0" w:space="0" w:color="auto"/>
                              </w:divBdr>
                            </w:div>
                            <w:div w:id="12015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2477</Words>
  <Characters>14121</Characters>
  <Application>Microsoft Office Word</Application>
  <DocSecurity>0</DocSecurity>
  <Lines>117</Lines>
  <Paragraphs>33</Paragraphs>
  <ScaleCrop>false</ScaleCrop>
  <Company/>
  <LinksUpToDate>false</LinksUpToDate>
  <CharactersWithSpaces>16565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2015-11-19T06:40:00Z</dcterms:created>
  <dcterms:modified xsi:type="dcterms:W3CDTF">2015-11-19T06:42:00Z</dcterms:modified>
</cp:coreProperties>
</file>